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120"/>
        <w:spacing w:after="0"/>
        <w:rPr>
          <w:sz w:val="20"/>
          <w:szCs w:val="20"/>
          <w:color w:val="auto"/>
        </w:rPr>
      </w:pPr>
      <w:r>
        <w:rPr>
          <w:rFonts w:ascii="Arial" w:cs="Arial" w:eastAsia="Arial" w:hAnsi="Arial"/>
          <w:sz w:val="25"/>
          <w:szCs w:val="25"/>
          <w:b w:val="1"/>
          <w:bCs w:val="1"/>
          <w:color w:val="auto"/>
        </w:rPr>
        <w:drawing>
          <wp:anchor simplePos="0" relativeHeight="251657728" behindDoc="1" locked="0" layoutInCell="0" allowOverlap="1">
            <wp:simplePos x="0" y="0"/>
            <wp:positionH relativeFrom="page">
              <wp:posOffset>208280</wp:posOffset>
            </wp:positionH>
            <wp:positionV relativeFrom="page">
              <wp:posOffset>157480</wp:posOffset>
            </wp:positionV>
            <wp:extent cx="7132320" cy="25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132320" cy="25400"/>
                    </a:xfrm>
                    <a:prstGeom prst="rect">
                      <a:avLst/>
                    </a:prstGeom>
                    <a:noFill/>
                  </pic:spPr>
                </pic:pic>
              </a:graphicData>
            </a:graphic>
          </wp:anchor>
        </w:drawing>
        <w:drawing>
          <wp:anchor simplePos="0" relativeHeight="251657728" behindDoc="1" locked="0" layoutInCell="0" allowOverlap="1">
            <wp:simplePos x="0" y="0"/>
            <wp:positionH relativeFrom="page">
              <wp:posOffset>208280</wp:posOffset>
            </wp:positionH>
            <wp:positionV relativeFrom="page">
              <wp:posOffset>191770</wp:posOffset>
            </wp:positionV>
            <wp:extent cx="7132320" cy="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132320" cy="8890"/>
                    </a:xfrm>
                    <a:prstGeom prst="rect">
                      <a:avLst/>
                    </a:prstGeom>
                    <a:noFill/>
                  </pic:spPr>
                </pic:pic>
              </a:graphicData>
            </a:graphic>
          </wp:anchor>
        </w:drawing>
        <w:t>UNITED STATES</w:t>
      </w:r>
    </w:p>
    <w:p>
      <w:pPr>
        <w:spacing w:after="0" w:line="38"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SECURITIES AND EXCHANGE COMMISSION</w:t>
      </w:r>
    </w:p>
    <w:p>
      <w:pPr>
        <w:spacing w:after="0" w:line="10"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Washington, D.C. 20549</w:t>
      </w:r>
    </w:p>
    <w:p>
      <w:pPr>
        <w:spacing w:after="0" w:line="198" w:lineRule="exact"/>
        <w:rPr>
          <w:sz w:val="24"/>
          <w:szCs w:val="24"/>
          <w:color w:val="auto"/>
        </w:rPr>
      </w:pPr>
    </w:p>
    <w:p>
      <w:pPr>
        <w:ind w:left="5000"/>
        <w:spacing w:after="0"/>
        <w:rPr>
          <w:sz w:val="20"/>
          <w:szCs w:val="20"/>
          <w:color w:val="auto"/>
        </w:rPr>
      </w:pPr>
      <w:r>
        <w:rPr>
          <w:rFonts w:ascii="Arial" w:cs="Arial" w:eastAsia="Arial" w:hAnsi="Arial"/>
          <w:sz w:val="25"/>
          <w:szCs w:val="25"/>
          <w:b w:val="1"/>
          <w:bCs w:val="1"/>
          <w:color w:val="auto"/>
        </w:rPr>
        <w:t>FORM 6-K</w:t>
      </w:r>
    </w:p>
    <w:p>
      <w:pPr>
        <w:spacing w:after="0" w:line="200" w:lineRule="exact"/>
        <w:rPr>
          <w:sz w:val="24"/>
          <w:szCs w:val="24"/>
          <w:color w:val="auto"/>
        </w:rPr>
      </w:pPr>
    </w:p>
    <w:p>
      <w:pPr>
        <w:spacing w:after="0" w:line="250"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REPORT OF FOREIGN PRIVATE ISSUER</w:t>
      </w:r>
    </w:p>
    <w:p>
      <w:pPr>
        <w:spacing w:after="0" w:line="23"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PURSUANT TO RULE 13a-16 OR 15d-16 UNDER THE</w:t>
      </w:r>
    </w:p>
    <w:p>
      <w:pPr>
        <w:spacing w:after="0" w:line="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SECURITIES EXCHANGE ACT OF 1934</w:t>
      </w:r>
    </w:p>
    <w:p>
      <w:pPr>
        <w:spacing w:after="0" w:line="200" w:lineRule="exact"/>
        <w:rPr>
          <w:sz w:val="24"/>
          <w:szCs w:val="24"/>
          <w:color w:val="auto"/>
        </w:rPr>
      </w:pPr>
    </w:p>
    <w:p>
      <w:pPr>
        <w:spacing w:after="0" w:line="227"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Short Form of Press Release</w:t>
      </w:r>
    </w:p>
    <w:p>
      <w:pPr>
        <w:spacing w:after="0" w:line="225" w:lineRule="exact"/>
        <w:rPr>
          <w:sz w:val="24"/>
          <w:szCs w:val="24"/>
          <w:color w:val="auto"/>
        </w:rPr>
      </w:pPr>
    </w:p>
    <w:p>
      <w:pPr>
        <w:ind w:left="4380"/>
        <w:spacing w:after="0"/>
        <w:rPr>
          <w:sz w:val="20"/>
          <w:szCs w:val="20"/>
          <w:color w:val="auto"/>
        </w:rPr>
      </w:pPr>
      <w:r>
        <w:rPr>
          <w:rFonts w:ascii="Arial" w:cs="Arial" w:eastAsia="Arial" w:hAnsi="Arial"/>
          <w:sz w:val="18"/>
          <w:szCs w:val="18"/>
          <w:color w:val="auto"/>
        </w:rPr>
        <w:t>Commission File Number 1-11414</w:t>
      </w:r>
    </w:p>
    <w:p>
      <w:pPr>
        <w:spacing w:after="0" w:line="200" w:lineRule="exact"/>
        <w:rPr>
          <w:sz w:val="24"/>
          <w:szCs w:val="24"/>
          <w:color w:val="auto"/>
        </w:rPr>
      </w:pPr>
    </w:p>
    <w:p>
      <w:pPr>
        <w:spacing w:after="0" w:line="232"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BANCO LATINOAMERICANO DE COMERCIO EXTERIOR, S.A.</w:t>
      </w:r>
    </w:p>
    <w:p>
      <w:pPr>
        <w:spacing w:after="0" w:line="34"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(Exact name of Registrant as specified in its Charter)</w:t>
      </w:r>
    </w:p>
    <w:p>
      <w:pPr>
        <w:spacing w:after="0" w:line="200"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FOREIGN TRADE BANK OF LATIN AMERICA, INC.</w:t>
      </w:r>
    </w:p>
    <w:p>
      <w:pPr>
        <w:spacing w:after="0" w:line="34" w:lineRule="exact"/>
        <w:rPr>
          <w:sz w:val="24"/>
          <w:szCs w:val="24"/>
          <w:color w:val="auto"/>
        </w:rPr>
      </w:pPr>
    </w:p>
    <w:p>
      <w:pPr>
        <w:ind w:left="3940"/>
        <w:spacing w:after="0"/>
        <w:rPr>
          <w:sz w:val="20"/>
          <w:szCs w:val="20"/>
          <w:color w:val="auto"/>
        </w:rPr>
      </w:pPr>
      <w:r>
        <w:rPr>
          <w:rFonts w:ascii="Arial" w:cs="Arial" w:eastAsia="Arial" w:hAnsi="Arial"/>
          <w:sz w:val="18"/>
          <w:szCs w:val="18"/>
          <w:color w:val="auto"/>
        </w:rPr>
        <w:t>(Translation of Registrant’s name into English)</w:t>
      </w:r>
    </w:p>
    <w:p>
      <w:pPr>
        <w:spacing w:after="0" w:line="200" w:lineRule="exact"/>
        <w:rPr>
          <w:sz w:val="24"/>
          <w:szCs w:val="24"/>
          <w:color w:val="auto"/>
        </w:rPr>
      </w:pPr>
    </w:p>
    <w:p>
      <w:pPr>
        <w:spacing w:after="0" w:line="225"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Business Park Torre V, Ave. La Rotonda, Costa del Este</w:t>
      </w:r>
    </w:p>
    <w:p>
      <w:pPr>
        <w:spacing w:after="0" w:line="23"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P.O. Box 0819-08730</w:t>
      </w:r>
    </w:p>
    <w:p>
      <w:pPr>
        <w:spacing w:after="0" w:line="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Panama City, Republic of Panama</w:t>
      </w:r>
    </w:p>
    <w:p>
      <w:pPr>
        <w:spacing w:after="0" w:line="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(Address of Registrant’s Principal Executive Offices)</w:t>
      </w:r>
    </w:p>
    <w:p>
      <w:pPr>
        <w:spacing w:after="0" w:line="200" w:lineRule="exact"/>
        <w:rPr>
          <w:sz w:val="24"/>
          <w:szCs w:val="24"/>
          <w:color w:val="auto"/>
        </w:rPr>
      </w:pPr>
    </w:p>
    <w:p>
      <w:pPr>
        <w:spacing w:after="0" w:line="227" w:lineRule="exact"/>
        <w:rPr>
          <w:sz w:val="24"/>
          <w:szCs w:val="24"/>
          <w:color w:val="auto"/>
        </w:rPr>
      </w:pPr>
    </w:p>
    <w:p>
      <w:pPr>
        <w:spacing w:after="0"/>
        <w:rPr>
          <w:sz w:val="20"/>
          <w:szCs w:val="20"/>
          <w:color w:val="auto"/>
        </w:rPr>
      </w:pPr>
      <w:r>
        <w:rPr>
          <w:rFonts w:ascii="Arial" w:cs="Arial" w:eastAsia="Arial" w:hAnsi="Arial"/>
          <w:sz w:val="18"/>
          <w:szCs w:val="18"/>
          <w:color w:val="auto"/>
        </w:rPr>
        <w:t>Indicate by check mark whether the registrant files or will file annual reports under cover of Form 20-F or Form 40-F.</w:t>
      </w:r>
    </w:p>
    <w:p>
      <w:pPr>
        <w:spacing w:after="0" w:line="192" w:lineRule="exact"/>
        <w:rPr>
          <w:sz w:val="24"/>
          <w:szCs w:val="24"/>
          <w:color w:val="auto"/>
        </w:rPr>
      </w:pPr>
    </w:p>
    <w:p>
      <w:pPr>
        <w:ind w:left="4520"/>
        <w:spacing w:after="0" w:line="207" w:lineRule="exact"/>
        <w:tabs>
          <w:tab w:leader="none" w:pos="5720" w:val="left"/>
        </w:tabs>
        <w:rPr>
          <w:sz w:val="20"/>
          <w:szCs w:val="20"/>
          <w:color w:val="auto"/>
        </w:rPr>
      </w:pPr>
      <w:r>
        <w:rPr>
          <w:rFonts w:ascii="Arial" w:cs="Arial" w:eastAsia="Arial" w:hAnsi="Arial"/>
          <w:sz w:val="18"/>
          <w:szCs w:val="18"/>
          <w:color w:val="auto"/>
        </w:rPr>
        <w:t xml:space="preserve">Form 20-F </w:t>
      </w:r>
      <w:r>
        <w:rPr>
          <w:rFonts w:ascii="MS PGothic" w:cs="MS PGothic" w:eastAsia="MS PGothic" w:hAnsi="MS PGothic"/>
          <w:sz w:val="18"/>
          <w:szCs w:val="18"/>
          <w:color w:val="auto"/>
        </w:rPr>
        <w:t>☒</w:t>
      </w:r>
      <w:r>
        <w:rPr>
          <w:sz w:val="20"/>
          <w:szCs w:val="20"/>
          <w:color w:val="auto"/>
        </w:rPr>
        <w:tab/>
      </w:r>
      <w:r>
        <w:rPr>
          <w:rFonts w:ascii="Arial" w:cs="Arial" w:eastAsia="Arial" w:hAnsi="Arial"/>
          <w:sz w:val="16"/>
          <w:szCs w:val="16"/>
          <w:color w:val="auto"/>
        </w:rPr>
        <w:t xml:space="preserve">Form 40-F </w:t>
      </w:r>
      <w:r>
        <w:rPr>
          <w:rFonts w:ascii="MS PGothic" w:cs="MS PGothic" w:eastAsia="MS PGothic" w:hAnsi="MS PGothic"/>
          <w:sz w:val="16"/>
          <w:szCs w:val="16"/>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101(b)(1):</w:t>
      </w:r>
    </w:p>
    <w:p>
      <w:pPr>
        <w:spacing w:after="0" w:line="204" w:lineRule="exact"/>
        <w:rPr>
          <w:sz w:val="24"/>
          <w:szCs w:val="24"/>
          <w:color w:val="auto"/>
        </w:rPr>
      </w:pPr>
    </w:p>
    <w:p>
      <w:pPr>
        <w:ind w:left="5060"/>
        <w:spacing w:after="0" w:line="207" w:lineRule="exact"/>
        <w:tabs>
          <w:tab w:leader="none" w:pos="5740" w:val="left"/>
        </w:tabs>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sz w:val="20"/>
          <w:szCs w:val="20"/>
          <w:color w:val="auto"/>
        </w:rPr>
        <w:tab/>
      </w:r>
      <w:r>
        <w:rPr>
          <w:rFonts w:ascii="Arial" w:cs="Arial" w:eastAsia="Arial" w:hAnsi="Arial"/>
          <w:sz w:val="16"/>
          <w:szCs w:val="16"/>
          <w:color w:val="auto"/>
        </w:rPr>
        <w:t xml:space="preserve">No </w:t>
      </w:r>
      <w:r>
        <w:rPr>
          <w:rFonts w:ascii="MS PGothic" w:cs="MS PGothic" w:eastAsia="MS PGothic" w:hAnsi="MS PGothic"/>
          <w:sz w:val="16"/>
          <w:szCs w:val="16"/>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101(b)(7):</w:t>
      </w:r>
    </w:p>
    <w:p>
      <w:pPr>
        <w:spacing w:after="0" w:line="204" w:lineRule="exact"/>
        <w:rPr>
          <w:sz w:val="24"/>
          <w:szCs w:val="24"/>
          <w:color w:val="auto"/>
        </w:rPr>
      </w:pPr>
    </w:p>
    <w:p>
      <w:pPr>
        <w:ind w:left="5060"/>
        <w:spacing w:after="0" w:line="207" w:lineRule="exact"/>
        <w:tabs>
          <w:tab w:leader="none" w:pos="5740" w:val="left"/>
        </w:tabs>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sz w:val="20"/>
          <w:szCs w:val="20"/>
          <w:color w:val="auto"/>
        </w:rPr>
        <w:tab/>
      </w:r>
      <w:r>
        <w:rPr>
          <w:rFonts w:ascii="Arial" w:cs="Arial" w:eastAsia="Arial" w:hAnsi="Arial"/>
          <w:sz w:val="16"/>
          <w:szCs w:val="16"/>
          <w:color w:val="auto"/>
        </w:rPr>
        <w:t xml:space="preserve">No </w:t>
      </w:r>
      <w:r>
        <w:rPr>
          <w:rFonts w:ascii="MS PGothic" w:cs="MS PGothic" w:eastAsia="MS PGothic" w:hAnsi="MS PGothic"/>
          <w:sz w:val="16"/>
          <w:szCs w:val="16"/>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172720</wp:posOffset>
            </wp:positionV>
            <wp:extent cx="7132320" cy="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132320" cy="8255"/>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189865</wp:posOffset>
            </wp:positionV>
            <wp:extent cx="7132320" cy="254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132320" cy="2540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507365</wp:posOffset>
            </wp:positionV>
            <wp:extent cx="7132320" cy="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0139"/>
          </w:cols>
          <w:pgMar w:left="320" w:top="508"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8"/>
          <w:szCs w:val="18"/>
          <w:b w:val="1"/>
          <w:bCs w:val="1"/>
          <w:color w:val="auto"/>
        </w:rPr>
        <w:t>SIGNATURES</w:t>
      </w:r>
    </w:p>
    <w:p>
      <w:pPr>
        <w:spacing w:after="0" w:line="229" w:lineRule="exact"/>
        <w:rPr>
          <w:sz w:val="20"/>
          <w:szCs w:val="20"/>
          <w:color w:val="auto"/>
        </w:rPr>
      </w:pPr>
    </w:p>
    <w:p>
      <w:pPr>
        <w:ind w:firstLine="648"/>
        <w:spacing w:after="0" w:line="277"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thereunto duly authorized.</w:t>
      </w:r>
    </w:p>
    <w:p>
      <w:pPr>
        <w:spacing w:after="0" w:line="386" w:lineRule="exact"/>
        <w:rPr>
          <w:sz w:val="20"/>
          <w:szCs w:val="20"/>
          <w:color w:val="auto"/>
        </w:rPr>
      </w:pPr>
    </w:p>
    <w:p>
      <w:pPr>
        <w:spacing w:after="0"/>
        <w:rPr>
          <w:sz w:val="20"/>
          <w:szCs w:val="20"/>
          <w:color w:val="auto"/>
        </w:rPr>
      </w:pPr>
      <w:r>
        <w:rPr>
          <w:rFonts w:ascii="Arial" w:cs="Arial" w:eastAsia="Arial" w:hAnsi="Arial"/>
          <w:sz w:val="18"/>
          <w:szCs w:val="18"/>
          <w:color w:val="auto"/>
        </w:rPr>
        <w:t>Date: May 5, 2021</w:t>
      </w:r>
    </w:p>
    <w:p>
      <w:pPr>
        <w:spacing w:after="0" w:line="23" w:lineRule="exact"/>
        <w:rPr>
          <w:sz w:val="20"/>
          <w:szCs w:val="20"/>
          <w:color w:val="auto"/>
        </w:rPr>
      </w:pPr>
    </w:p>
    <w:p>
      <w:pPr>
        <w:ind w:left="5640"/>
        <w:spacing w:after="0"/>
        <w:rPr>
          <w:sz w:val="20"/>
          <w:szCs w:val="20"/>
          <w:color w:val="auto"/>
        </w:rPr>
      </w:pPr>
      <w:r>
        <w:rPr>
          <w:rFonts w:ascii="Arial" w:cs="Arial" w:eastAsia="Arial" w:hAnsi="Arial"/>
          <w:sz w:val="18"/>
          <w:szCs w:val="18"/>
          <w:color w:val="auto"/>
        </w:rPr>
        <w:t>FOREIGN TRADE BANK OF LATIN AMERICA, INC.</w:t>
      </w:r>
    </w:p>
    <w:p>
      <w:pPr>
        <w:spacing w:after="0" w:line="9" w:lineRule="exact"/>
        <w:rPr>
          <w:sz w:val="20"/>
          <w:szCs w:val="20"/>
          <w:color w:val="auto"/>
        </w:rPr>
      </w:pPr>
    </w:p>
    <w:p>
      <w:pPr>
        <w:ind w:left="5640"/>
        <w:spacing w:after="0"/>
        <w:rPr>
          <w:sz w:val="20"/>
          <w:szCs w:val="20"/>
          <w:color w:val="auto"/>
        </w:rPr>
      </w:pPr>
      <w:r>
        <w:rPr>
          <w:rFonts w:ascii="Arial" w:cs="Arial" w:eastAsia="Arial" w:hAnsi="Arial"/>
          <w:sz w:val="18"/>
          <w:szCs w:val="18"/>
          <w:i w:val="1"/>
          <w:iCs w:val="1"/>
          <w:color w:val="auto"/>
        </w:rPr>
        <w:t>(Registrant)</w:t>
      </w:r>
    </w:p>
    <w:p>
      <w:pPr>
        <w:spacing w:after="0" w:line="200" w:lineRule="exact"/>
        <w:rPr>
          <w:sz w:val="20"/>
          <w:szCs w:val="20"/>
          <w:color w:val="auto"/>
        </w:rPr>
      </w:pPr>
    </w:p>
    <w:p>
      <w:pPr>
        <w:spacing w:after="0" w:line="227" w:lineRule="exact"/>
        <w:rPr>
          <w:sz w:val="20"/>
          <w:szCs w:val="20"/>
          <w:color w:val="auto"/>
        </w:rPr>
      </w:pPr>
    </w:p>
    <w:p>
      <w:pPr>
        <w:ind w:left="6200"/>
        <w:spacing w:after="0"/>
        <w:rPr>
          <w:sz w:val="20"/>
          <w:szCs w:val="20"/>
          <w:color w:val="auto"/>
        </w:rPr>
      </w:pPr>
      <w:r>
        <w:rPr>
          <w:rFonts w:ascii="Arial" w:cs="Arial" w:eastAsia="Arial" w:hAnsi="Arial"/>
          <w:sz w:val="18"/>
          <w:szCs w:val="18"/>
          <w:color w:val="auto"/>
        </w:rPr>
        <w:t xml:space="preserve">By: </w:t>
      </w:r>
      <w:r>
        <w:rPr>
          <w:rFonts w:ascii="Arial" w:cs="Arial" w:eastAsia="Arial" w:hAnsi="Arial"/>
          <w:sz w:val="18"/>
          <w:szCs w:val="18"/>
          <w:u w:val="single" w:color="auto"/>
          <w:color w:val="auto"/>
        </w:rPr>
        <w:t>/s/ Ana Graciela de Méndez</w:t>
      </w:r>
    </w:p>
    <w:p>
      <w:pPr>
        <w:spacing w:after="0" w:line="225" w:lineRule="exact"/>
        <w:rPr>
          <w:sz w:val="20"/>
          <w:szCs w:val="20"/>
          <w:color w:val="auto"/>
        </w:rPr>
      </w:pPr>
    </w:p>
    <w:p>
      <w:pPr>
        <w:ind w:left="6200"/>
        <w:spacing w:after="0"/>
        <w:rPr>
          <w:sz w:val="20"/>
          <w:szCs w:val="20"/>
          <w:color w:val="auto"/>
        </w:rPr>
      </w:pPr>
      <w:r>
        <w:rPr>
          <w:rFonts w:ascii="Arial" w:cs="Arial" w:eastAsia="Arial" w:hAnsi="Arial"/>
          <w:sz w:val="18"/>
          <w:szCs w:val="18"/>
          <w:color w:val="auto"/>
        </w:rPr>
        <w:t>Name: Ana Graciela de Méndez</w:t>
      </w:r>
    </w:p>
    <w:p>
      <w:pPr>
        <w:spacing w:after="0" w:line="23" w:lineRule="exact"/>
        <w:rPr>
          <w:sz w:val="20"/>
          <w:szCs w:val="20"/>
          <w:color w:val="auto"/>
        </w:rPr>
      </w:pPr>
    </w:p>
    <w:p>
      <w:pPr>
        <w:ind w:left="6200"/>
        <w:spacing w:after="0"/>
        <w:rPr>
          <w:sz w:val="20"/>
          <w:szCs w:val="20"/>
          <w:color w:val="auto"/>
        </w:rPr>
      </w:pPr>
      <w:r>
        <w:rPr>
          <w:rFonts w:ascii="Arial" w:cs="Arial" w:eastAsia="Arial" w:hAnsi="Arial"/>
          <w:sz w:val="18"/>
          <w:szCs w:val="18"/>
          <w:color w:val="auto"/>
        </w:rPr>
        <w:t>Title: CFO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434340</wp:posOffset>
            </wp:positionV>
            <wp:extent cx="7132320" cy="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2" w:name="page3"/>
    <w:bookmarkEnd w:id="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267970</wp:posOffset>
            </wp:positionH>
            <wp:positionV relativeFrom="page">
              <wp:posOffset>586105</wp:posOffset>
            </wp:positionV>
            <wp:extent cx="6986270" cy="124333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clrChange>
                        <a:clrFrom>
                          <a:srgbClr val="FFFFFF"/>
                        </a:clrFrom>
                        <a:clrTo>
                          <a:srgbClr val="FFFFFF">
                            <a:alpha val="0"/>
                          </a:srgbClr>
                        </a:clrTo>
                      </a:clrChange>
                      <a:extLst>
                        <a:ext uri="{28A0092B-C50C-407E-A947-70E740481C1C}"/>
                      </a:extLst>
                    </a:blip>
                    <a:srcRect/>
                    <a:stretch>
                      <a:fillRect/>
                    </a:stretch>
                  </pic:blipFill>
                  <pic:spPr bwMode="auto">
                    <a:xfrm>
                      <a:off x="0" y="0"/>
                      <a:ext cx="6986270" cy="124333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2" w:lineRule="exact"/>
        <w:rPr>
          <w:sz w:val="20"/>
          <w:szCs w:val="20"/>
          <w:color w:val="auto"/>
        </w:rPr>
      </w:pPr>
    </w:p>
    <w:p>
      <w:pPr>
        <w:ind w:left="1600"/>
        <w:spacing w:after="0"/>
        <w:rPr>
          <w:sz w:val="20"/>
          <w:szCs w:val="20"/>
          <w:color w:val="auto"/>
        </w:rPr>
      </w:pPr>
      <w:r>
        <w:rPr>
          <w:rFonts w:ascii="Arial" w:cs="Arial" w:eastAsia="Arial" w:hAnsi="Arial"/>
          <w:sz w:val="18"/>
          <w:szCs w:val="18"/>
          <w:b w:val="1"/>
          <w:bCs w:val="1"/>
          <w:color w:val="auto"/>
        </w:rPr>
        <w:t>BLADEX ANNOUNCES FIRST QUARTER 2021 PROFIT OF $12.8 MILLION, OR $0.32 PER SHARE</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PANAMA CITY, REPUBLIC OF PANAMA, May 5, 2021</w:t>
      </w:r>
    </w:p>
    <w:p>
      <w:pPr>
        <w:spacing w:after="0" w:line="225" w:lineRule="exact"/>
        <w:rPr>
          <w:sz w:val="20"/>
          <w:szCs w:val="20"/>
          <w:color w:val="auto"/>
        </w:rPr>
      </w:pPr>
    </w:p>
    <w:p>
      <w:pPr>
        <w:jc w:val="both"/>
        <w:spacing w:after="0" w:line="266" w:lineRule="auto"/>
        <w:rPr>
          <w:sz w:val="20"/>
          <w:szCs w:val="20"/>
          <w:color w:val="auto"/>
        </w:rPr>
      </w:pPr>
      <w:r>
        <w:rPr>
          <w:rFonts w:ascii="Arial" w:cs="Arial" w:eastAsia="Arial" w:hAnsi="Arial"/>
          <w:sz w:val="18"/>
          <w:szCs w:val="18"/>
          <w:b w:val="1"/>
          <w:bCs w:val="1"/>
          <w:color w:val="auto"/>
        </w:rPr>
        <w:t xml:space="preserve">Banco Latinoamericano de Comercio Exterior, S.A. </w:t>
      </w:r>
      <w:r>
        <w:rPr>
          <w:rFonts w:ascii="Arial" w:cs="Arial" w:eastAsia="Arial" w:hAnsi="Arial"/>
          <w:sz w:val="18"/>
          <w:szCs w:val="18"/>
          <w:color w:val="auto"/>
        </w:rPr>
        <w:t>(NYSE: BLX, “Bladex”, or “the Bank”), a Panama-based multinational bank originally established</w:t>
      </w:r>
      <w:r>
        <w:rPr>
          <w:rFonts w:ascii="Arial" w:cs="Arial" w:eastAsia="Arial" w:hAnsi="Arial"/>
          <w:sz w:val="18"/>
          <w:szCs w:val="18"/>
          <w:b w:val="1"/>
          <w:bCs w:val="1"/>
          <w:color w:val="auto"/>
        </w:rPr>
        <w:t xml:space="preserve"> </w:t>
      </w:r>
      <w:r>
        <w:rPr>
          <w:rFonts w:ascii="Arial" w:cs="Arial" w:eastAsia="Arial" w:hAnsi="Arial"/>
          <w:sz w:val="18"/>
          <w:szCs w:val="18"/>
          <w:color w:val="auto"/>
        </w:rPr>
        <w:t>by the central banks of 23 Latin-American and Caribbean countries to promote foreign trade and economic integration in the Region, today announced its results for the First Quarter (“1Q21”) ended March 31, 2021.</w:t>
      </w:r>
    </w:p>
    <w:p>
      <w:pPr>
        <w:spacing w:after="0" w:line="18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consolidated financial information in this document has been prepared in accordance with International Financial Reporting Standards (“IFRS”) as issued by the International Accounting Standards Board (“IASB”).</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6740" w:type="dxa"/>
            <w:vAlign w:val="bottom"/>
          </w:tcPr>
          <w:p>
            <w:pPr>
              <w:spacing w:after="0"/>
              <w:rPr>
                <w:sz w:val="20"/>
                <w:szCs w:val="20"/>
                <w:color w:val="auto"/>
              </w:rPr>
            </w:pPr>
            <w:r>
              <w:rPr>
                <w:rFonts w:ascii="Arial" w:cs="Arial" w:eastAsia="Arial" w:hAnsi="Arial"/>
                <w:sz w:val="18"/>
                <w:szCs w:val="18"/>
                <w:b w:val="1"/>
                <w:bCs w:val="1"/>
                <w:color w:val="auto"/>
              </w:rPr>
              <w:t>FINANCIAL SNAPSHOT</w:t>
            </w:r>
          </w:p>
        </w:tc>
        <w:tc>
          <w:tcPr>
            <w:tcW w:w="12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98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9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98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18"/>
        </w:trPr>
        <w:tc>
          <w:tcPr>
            <w:tcW w:w="6740" w:type="dxa"/>
            <w:vAlign w:val="bottom"/>
          </w:tcPr>
          <w:p>
            <w:pPr>
              <w:spacing w:after="0"/>
              <w:rPr>
                <w:sz w:val="20"/>
                <w:szCs w:val="20"/>
                <w:color w:val="auto"/>
              </w:rPr>
            </w:pPr>
            <w:r>
              <w:rPr>
                <w:rFonts w:ascii="Arial" w:cs="Arial" w:eastAsia="Arial" w:hAnsi="Arial"/>
                <w:sz w:val="18"/>
                <w:szCs w:val="18"/>
                <w:color w:val="auto"/>
              </w:rPr>
              <w:t>(US$ million, except percentages and per share</w:t>
            </w:r>
          </w:p>
        </w:tc>
        <w:tc>
          <w:tcPr>
            <w:tcW w:w="12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260" w:type="dxa"/>
            <w:vAlign w:val="bottom"/>
            <w:gridSpan w:val="2"/>
            <w:vMerge w:val="restart"/>
          </w:tcPr>
          <w:p>
            <w:pPr>
              <w:jc w:val="right"/>
              <w:ind w:right="680"/>
              <w:spacing w:after="0"/>
              <w:rPr>
                <w:sz w:val="20"/>
                <w:szCs w:val="20"/>
                <w:color w:val="auto"/>
              </w:rPr>
            </w:pPr>
            <w:r>
              <w:rPr>
                <w:rFonts w:ascii="Arial" w:cs="Arial" w:eastAsia="Arial" w:hAnsi="Arial"/>
                <w:sz w:val="18"/>
                <w:szCs w:val="18"/>
                <w:b w:val="1"/>
                <w:bCs w:val="1"/>
                <w:color w:val="auto"/>
              </w:rPr>
              <w:t>1Q21</w:t>
            </w:r>
          </w:p>
        </w:tc>
        <w:tc>
          <w:tcPr>
            <w:tcW w:w="240" w:type="dxa"/>
            <w:vAlign w:val="bottom"/>
          </w:tcPr>
          <w:p>
            <w:pPr>
              <w:spacing w:after="0"/>
              <w:rPr>
                <w:sz w:val="24"/>
                <w:szCs w:val="24"/>
                <w:color w:val="auto"/>
              </w:rPr>
            </w:pPr>
          </w:p>
        </w:tc>
        <w:tc>
          <w:tcPr>
            <w:tcW w:w="1180" w:type="dxa"/>
            <w:vAlign w:val="bottom"/>
            <w:gridSpan w:val="2"/>
            <w:vMerge w:val="restart"/>
          </w:tcPr>
          <w:p>
            <w:pPr>
              <w:jc w:val="right"/>
              <w:ind w:right="600"/>
              <w:spacing w:after="0"/>
              <w:rPr>
                <w:sz w:val="20"/>
                <w:szCs w:val="20"/>
                <w:color w:val="auto"/>
              </w:rPr>
            </w:pPr>
            <w:r>
              <w:rPr>
                <w:rFonts w:ascii="Arial" w:cs="Arial" w:eastAsia="Arial" w:hAnsi="Arial"/>
                <w:sz w:val="18"/>
                <w:szCs w:val="18"/>
                <w:b w:val="1"/>
                <w:bCs w:val="1"/>
                <w:color w:val="auto"/>
              </w:rPr>
              <w:t>4Q20</w:t>
            </w:r>
          </w:p>
        </w:tc>
        <w:tc>
          <w:tcPr>
            <w:tcW w:w="6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1140" w:type="dxa"/>
            <w:vAlign w:val="bottom"/>
            <w:gridSpan w:val="2"/>
            <w:vMerge w:val="restart"/>
          </w:tcPr>
          <w:p>
            <w:pPr>
              <w:jc w:val="right"/>
              <w:ind w:right="580"/>
              <w:spacing w:after="0"/>
              <w:rPr>
                <w:sz w:val="20"/>
                <w:szCs w:val="20"/>
                <w:color w:val="auto"/>
              </w:rPr>
            </w:pPr>
            <w:r>
              <w:rPr>
                <w:rFonts w:ascii="Arial" w:cs="Arial" w:eastAsia="Arial" w:hAnsi="Arial"/>
                <w:sz w:val="18"/>
                <w:szCs w:val="18"/>
                <w:b w:val="1"/>
                <w:bCs w:val="1"/>
                <w:color w:val="auto"/>
              </w:rPr>
              <w:t>1Q20</w:t>
            </w:r>
          </w:p>
        </w:tc>
        <w:tc>
          <w:tcPr>
            <w:tcW w:w="0" w:type="dxa"/>
            <w:vAlign w:val="bottom"/>
          </w:tcPr>
          <w:p>
            <w:pPr>
              <w:spacing w:after="0"/>
              <w:rPr>
                <w:sz w:val="1"/>
                <w:szCs w:val="1"/>
                <w:color w:val="auto"/>
              </w:rPr>
            </w:pPr>
          </w:p>
        </w:tc>
      </w:tr>
      <w:tr>
        <w:trPr>
          <w:trHeight w:val="230"/>
        </w:trPr>
        <w:tc>
          <w:tcPr>
            <w:tcW w:w="6740" w:type="dxa"/>
            <w:vAlign w:val="bottom"/>
          </w:tcPr>
          <w:p>
            <w:pPr>
              <w:spacing w:after="0"/>
              <w:rPr>
                <w:sz w:val="20"/>
                <w:szCs w:val="20"/>
                <w:color w:val="auto"/>
              </w:rPr>
            </w:pPr>
            <w:r>
              <w:rPr>
                <w:rFonts w:ascii="Arial" w:cs="Arial" w:eastAsia="Arial" w:hAnsi="Arial"/>
                <w:sz w:val="18"/>
                <w:szCs w:val="18"/>
                <w:color w:val="auto"/>
              </w:rPr>
              <w:t>amounts)</w:t>
            </w:r>
          </w:p>
        </w:tc>
        <w:tc>
          <w:tcPr>
            <w:tcW w:w="12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260" w:type="dxa"/>
            <w:vAlign w:val="bottom"/>
            <w:gridSpan w:val="2"/>
            <w:vMerge w:val="continue"/>
          </w:tcPr>
          <w:p>
            <w:pPr>
              <w:spacing w:after="0"/>
              <w:rPr>
                <w:sz w:val="20"/>
                <w:szCs w:val="20"/>
                <w:color w:val="auto"/>
              </w:rPr>
            </w:pPr>
          </w:p>
        </w:tc>
        <w:tc>
          <w:tcPr>
            <w:tcW w:w="240" w:type="dxa"/>
            <w:vAlign w:val="bottom"/>
          </w:tcPr>
          <w:p>
            <w:pPr>
              <w:spacing w:after="0"/>
              <w:rPr>
                <w:sz w:val="20"/>
                <w:szCs w:val="20"/>
                <w:color w:val="auto"/>
              </w:rPr>
            </w:pPr>
          </w:p>
        </w:tc>
        <w:tc>
          <w:tcPr>
            <w:tcW w:w="1180" w:type="dxa"/>
            <w:vAlign w:val="bottom"/>
            <w:gridSpan w:val="2"/>
            <w:vMerge w:val="continue"/>
          </w:tcPr>
          <w:p>
            <w:pPr>
              <w:spacing w:after="0"/>
              <w:rPr>
                <w:sz w:val="20"/>
                <w:szCs w:val="20"/>
                <w:color w:val="auto"/>
              </w:rPr>
            </w:pPr>
          </w:p>
        </w:tc>
        <w:tc>
          <w:tcPr>
            <w:tcW w:w="6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1140" w:type="dxa"/>
            <w:vAlign w:val="bottom"/>
            <w:gridSpan w:val="2"/>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674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Key Income Statement Highlights</w:t>
            </w:r>
          </w:p>
        </w:tc>
        <w:tc>
          <w:tcPr>
            <w:tcW w:w="120" w:type="dxa"/>
            <w:vAlign w:val="bottom"/>
            <w:tcBorders>
              <w:top w:val="single" w:sz="8" w:color="CCEEFF"/>
            </w:tcBorders>
            <w:shd w:val="clear" w:color="auto" w:fill="CCEEFF"/>
          </w:tcPr>
          <w:p>
            <w:pPr>
              <w:spacing w:after="0"/>
              <w:rPr>
                <w:sz w:val="18"/>
                <w:szCs w:val="18"/>
                <w:color w:val="auto"/>
              </w:rPr>
            </w:pPr>
          </w:p>
        </w:tc>
        <w:tc>
          <w:tcPr>
            <w:tcW w:w="240" w:type="dxa"/>
            <w:vAlign w:val="bottom"/>
            <w:tcBorders>
              <w:top w:val="single" w:sz="8" w:color="auto"/>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spacing w:after="0"/>
              <w:rPr>
                <w:sz w:val="18"/>
                <w:szCs w:val="18"/>
                <w:color w:val="auto"/>
              </w:rPr>
            </w:pPr>
          </w:p>
        </w:tc>
        <w:tc>
          <w:tcPr>
            <w:tcW w:w="280" w:type="dxa"/>
            <w:vAlign w:val="bottom"/>
            <w:tcBorders>
              <w:top w:val="single" w:sz="8" w:color="CCEEFF"/>
            </w:tcBorders>
            <w:shd w:val="clear" w:color="auto" w:fill="CCEEFF"/>
          </w:tcPr>
          <w:p>
            <w:pPr>
              <w:spacing w:after="0"/>
              <w:rPr>
                <w:sz w:val="18"/>
                <w:szCs w:val="18"/>
                <w:color w:val="auto"/>
              </w:rPr>
            </w:pPr>
          </w:p>
        </w:tc>
        <w:tc>
          <w:tcPr>
            <w:tcW w:w="240" w:type="dxa"/>
            <w:vAlign w:val="bottom"/>
            <w:tcBorders>
              <w:top w:val="single" w:sz="8" w:color="auto"/>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auto"/>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740" w:type="dxa"/>
            <w:vAlign w:val="bottom"/>
          </w:tcPr>
          <w:p>
            <w:pPr>
              <w:spacing w:after="0"/>
              <w:rPr>
                <w:sz w:val="20"/>
                <w:szCs w:val="20"/>
                <w:color w:val="auto"/>
              </w:rPr>
            </w:pPr>
            <w:r>
              <w:rPr>
                <w:rFonts w:ascii="Arial" w:cs="Arial" w:eastAsia="Arial" w:hAnsi="Arial"/>
                <w:sz w:val="18"/>
                <w:szCs w:val="18"/>
                <w:color w:val="auto"/>
              </w:rPr>
              <w:t>Net Interest Income ("NII")</w:t>
            </w:r>
          </w:p>
        </w:tc>
        <w:tc>
          <w:tcPr>
            <w:tcW w:w="360" w:type="dxa"/>
            <w:vAlign w:val="bottom"/>
            <w:gridSpan w:val="2"/>
          </w:tcPr>
          <w:p>
            <w:pPr>
              <w:jc w:val="right"/>
              <w:ind w:right="160"/>
              <w:spacing w:after="0"/>
              <w:rPr>
                <w:sz w:val="20"/>
                <w:szCs w:val="20"/>
                <w:color w:val="auto"/>
              </w:rPr>
            </w:pPr>
            <w:r>
              <w:rPr>
                <w:rFonts w:ascii="Arial" w:cs="Arial" w:eastAsia="Arial" w:hAnsi="Arial"/>
                <w:sz w:val="18"/>
                <w:szCs w:val="18"/>
                <w:color w:val="auto"/>
              </w:rPr>
              <w:t>$</w:t>
            </w:r>
          </w:p>
        </w:tc>
        <w:tc>
          <w:tcPr>
            <w:tcW w:w="1260" w:type="dxa"/>
            <w:vAlign w:val="bottom"/>
            <w:gridSpan w:val="2"/>
          </w:tcPr>
          <w:p>
            <w:pPr>
              <w:jc w:val="right"/>
              <w:ind w:right="280"/>
              <w:spacing w:after="0"/>
              <w:rPr>
                <w:sz w:val="20"/>
                <w:szCs w:val="20"/>
                <w:color w:val="auto"/>
              </w:rPr>
            </w:pPr>
            <w:r>
              <w:rPr>
                <w:rFonts w:ascii="Arial" w:cs="Arial" w:eastAsia="Arial" w:hAnsi="Arial"/>
                <w:sz w:val="18"/>
                <w:szCs w:val="18"/>
                <w:color w:val="auto"/>
              </w:rPr>
              <w:t>18.9</w:t>
            </w:r>
          </w:p>
        </w:tc>
        <w:tc>
          <w:tcPr>
            <w:tcW w:w="240" w:type="dxa"/>
            <w:vAlign w:val="bottom"/>
          </w:tcPr>
          <w:p>
            <w:pPr>
              <w:jc w:val="right"/>
              <w:ind w:right="87"/>
              <w:spacing w:after="0"/>
              <w:rPr>
                <w:sz w:val="20"/>
                <w:szCs w:val="20"/>
                <w:color w:val="auto"/>
              </w:rPr>
            </w:pPr>
            <w:r>
              <w:rPr>
                <w:rFonts w:ascii="Arial" w:cs="Arial" w:eastAsia="Arial" w:hAnsi="Arial"/>
                <w:sz w:val="15"/>
                <w:szCs w:val="15"/>
                <w:color w:val="auto"/>
                <w:w w:val="71"/>
              </w:rPr>
              <w:t>$</w:t>
            </w:r>
          </w:p>
        </w:tc>
        <w:tc>
          <w:tcPr>
            <w:tcW w:w="1180" w:type="dxa"/>
            <w:vAlign w:val="bottom"/>
            <w:gridSpan w:val="2"/>
          </w:tcPr>
          <w:p>
            <w:pPr>
              <w:jc w:val="right"/>
              <w:ind w:right="200"/>
              <w:spacing w:after="0"/>
              <w:rPr>
                <w:sz w:val="20"/>
                <w:szCs w:val="20"/>
                <w:color w:val="auto"/>
              </w:rPr>
            </w:pPr>
            <w:r>
              <w:rPr>
                <w:rFonts w:ascii="Arial" w:cs="Arial" w:eastAsia="Arial" w:hAnsi="Arial"/>
                <w:sz w:val="18"/>
                <w:szCs w:val="18"/>
                <w:color w:val="auto"/>
              </w:rPr>
              <w:t>22.3</w:t>
            </w:r>
          </w:p>
        </w:tc>
        <w:tc>
          <w:tcPr>
            <w:tcW w:w="320" w:type="dxa"/>
            <w:vAlign w:val="bottom"/>
            <w:gridSpan w:val="2"/>
          </w:tcPr>
          <w:p>
            <w:pPr>
              <w:jc w:val="right"/>
              <w:ind w:right="160"/>
              <w:spacing w:after="0"/>
              <w:rPr>
                <w:sz w:val="20"/>
                <w:szCs w:val="20"/>
                <w:color w:val="auto"/>
              </w:rPr>
            </w:pPr>
            <w:r>
              <w:rPr>
                <w:rFonts w:ascii="Arial" w:cs="Arial" w:eastAsia="Arial" w:hAnsi="Arial"/>
                <w:sz w:val="18"/>
                <w:szCs w:val="18"/>
                <w:color w:val="auto"/>
              </w:rPr>
              <w:t>$</w:t>
            </w:r>
          </w:p>
        </w:tc>
        <w:tc>
          <w:tcPr>
            <w:tcW w:w="1140" w:type="dxa"/>
            <w:vAlign w:val="bottom"/>
            <w:gridSpan w:val="2"/>
          </w:tcPr>
          <w:p>
            <w:pPr>
              <w:jc w:val="right"/>
              <w:ind w:right="160"/>
              <w:spacing w:after="0"/>
              <w:rPr>
                <w:sz w:val="20"/>
                <w:szCs w:val="20"/>
                <w:color w:val="auto"/>
              </w:rPr>
            </w:pPr>
            <w:r>
              <w:rPr>
                <w:rFonts w:ascii="Arial" w:cs="Arial" w:eastAsia="Arial" w:hAnsi="Arial"/>
                <w:sz w:val="18"/>
                <w:szCs w:val="18"/>
                <w:color w:val="auto"/>
              </w:rPr>
              <w:t>25.8</w:t>
            </w:r>
          </w:p>
        </w:tc>
        <w:tc>
          <w:tcPr>
            <w:tcW w:w="0" w:type="dxa"/>
            <w:vAlign w:val="bottom"/>
          </w:tcPr>
          <w:p>
            <w:pPr>
              <w:spacing w:after="0"/>
              <w:rPr>
                <w:sz w:val="1"/>
                <w:szCs w:val="1"/>
                <w:color w:val="auto"/>
              </w:rPr>
            </w:pPr>
          </w:p>
        </w:tc>
      </w:tr>
      <w:tr>
        <w:trPr>
          <w:trHeight w:val="216"/>
        </w:trPr>
        <w:tc>
          <w:tcPr>
            <w:tcW w:w="6740" w:type="dxa"/>
            <w:vAlign w:val="bottom"/>
            <w:shd w:val="clear" w:color="auto" w:fill="CCEEFF"/>
          </w:tcPr>
          <w:p>
            <w:pPr>
              <w:spacing w:after="0"/>
              <w:rPr>
                <w:sz w:val="20"/>
                <w:szCs w:val="20"/>
                <w:color w:val="auto"/>
              </w:rPr>
            </w:pPr>
            <w:r>
              <w:rPr>
                <w:rFonts w:ascii="Arial" w:cs="Arial" w:eastAsia="Arial" w:hAnsi="Arial"/>
                <w:sz w:val="18"/>
                <w:szCs w:val="18"/>
                <w:color w:val="auto"/>
              </w:rPr>
              <w:t>Fees and commissions, net</w:t>
            </w:r>
          </w:p>
        </w:tc>
        <w:tc>
          <w:tcPr>
            <w:tcW w:w="3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w:t>
            </w:r>
          </w:p>
        </w:tc>
        <w:tc>
          <w:tcPr>
            <w:tcW w:w="126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3.0</w:t>
            </w:r>
          </w:p>
        </w:tc>
        <w:tc>
          <w:tcPr>
            <w:tcW w:w="240" w:type="dxa"/>
            <w:vAlign w:val="bottom"/>
            <w:shd w:val="clear" w:color="auto" w:fill="CCEEFF"/>
          </w:tcPr>
          <w:p>
            <w:pPr>
              <w:jc w:val="right"/>
              <w:ind w:right="87"/>
              <w:spacing w:after="0"/>
              <w:rPr>
                <w:sz w:val="20"/>
                <w:szCs w:val="20"/>
                <w:color w:val="auto"/>
              </w:rPr>
            </w:pPr>
            <w:r>
              <w:rPr>
                <w:rFonts w:ascii="Arial" w:cs="Arial" w:eastAsia="Arial" w:hAnsi="Arial"/>
                <w:sz w:val="15"/>
                <w:szCs w:val="15"/>
                <w:color w:val="auto"/>
                <w:w w:val="71"/>
              </w:rPr>
              <w:t>$</w:t>
            </w:r>
          </w:p>
        </w:tc>
        <w:tc>
          <w:tcPr>
            <w:tcW w:w="11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2.8</w:t>
            </w:r>
          </w:p>
        </w:tc>
        <w:tc>
          <w:tcPr>
            <w:tcW w:w="3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w:t>
            </w:r>
          </w:p>
        </w:tc>
        <w:tc>
          <w:tcPr>
            <w:tcW w:w="11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3.1</w:t>
            </w:r>
          </w:p>
        </w:tc>
        <w:tc>
          <w:tcPr>
            <w:tcW w:w="0" w:type="dxa"/>
            <w:vAlign w:val="bottom"/>
          </w:tcPr>
          <w:p>
            <w:pPr>
              <w:spacing w:after="0"/>
              <w:rPr>
                <w:sz w:val="1"/>
                <w:szCs w:val="1"/>
                <w:color w:val="auto"/>
              </w:rPr>
            </w:pPr>
          </w:p>
        </w:tc>
      </w:tr>
      <w:tr>
        <w:trPr>
          <w:trHeight w:val="216"/>
        </w:trPr>
        <w:tc>
          <w:tcPr>
            <w:tcW w:w="6740" w:type="dxa"/>
            <w:vAlign w:val="bottom"/>
          </w:tcPr>
          <w:p>
            <w:pPr>
              <w:spacing w:after="0"/>
              <w:rPr>
                <w:sz w:val="20"/>
                <w:szCs w:val="20"/>
                <w:color w:val="auto"/>
              </w:rPr>
            </w:pPr>
            <w:r>
              <w:rPr>
                <w:rFonts w:ascii="Arial" w:cs="Arial" w:eastAsia="Arial" w:hAnsi="Arial"/>
                <w:sz w:val="18"/>
                <w:szCs w:val="18"/>
                <w:color w:val="auto"/>
              </w:rPr>
              <w:t>Loss on financial instruments, net</w:t>
            </w:r>
          </w:p>
        </w:tc>
        <w:tc>
          <w:tcPr>
            <w:tcW w:w="360" w:type="dxa"/>
            <w:vAlign w:val="bottom"/>
            <w:gridSpan w:val="2"/>
          </w:tcPr>
          <w:p>
            <w:pPr>
              <w:jc w:val="right"/>
              <w:ind w:right="160"/>
              <w:spacing w:after="0"/>
              <w:rPr>
                <w:sz w:val="20"/>
                <w:szCs w:val="20"/>
                <w:color w:val="auto"/>
              </w:rPr>
            </w:pPr>
            <w:r>
              <w:rPr>
                <w:rFonts w:ascii="Arial" w:cs="Arial" w:eastAsia="Arial" w:hAnsi="Arial"/>
                <w:sz w:val="18"/>
                <w:szCs w:val="18"/>
                <w:color w:val="auto"/>
              </w:rPr>
              <w:t>$</w:t>
            </w:r>
          </w:p>
        </w:tc>
        <w:tc>
          <w:tcPr>
            <w:tcW w:w="1260" w:type="dxa"/>
            <w:vAlign w:val="bottom"/>
            <w:gridSpan w:val="2"/>
          </w:tcPr>
          <w:p>
            <w:pPr>
              <w:jc w:val="right"/>
              <w:ind w:right="220"/>
              <w:spacing w:after="0"/>
              <w:rPr>
                <w:sz w:val="20"/>
                <w:szCs w:val="20"/>
                <w:color w:val="auto"/>
              </w:rPr>
            </w:pPr>
            <w:r>
              <w:rPr>
                <w:rFonts w:ascii="Arial" w:cs="Arial" w:eastAsia="Arial" w:hAnsi="Arial"/>
                <w:sz w:val="18"/>
                <w:szCs w:val="18"/>
                <w:color w:val="404040"/>
              </w:rPr>
              <w:t>(</w:t>
            </w:r>
            <w:r>
              <w:rPr>
                <w:rFonts w:ascii="Arial" w:cs="Arial" w:eastAsia="Arial" w:hAnsi="Arial"/>
                <w:sz w:val="18"/>
                <w:szCs w:val="18"/>
                <w:color w:val="000000"/>
              </w:rPr>
              <w:t>0.1)</w:t>
            </w:r>
          </w:p>
        </w:tc>
        <w:tc>
          <w:tcPr>
            <w:tcW w:w="240" w:type="dxa"/>
            <w:vAlign w:val="bottom"/>
          </w:tcPr>
          <w:p>
            <w:pPr>
              <w:jc w:val="right"/>
              <w:ind w:right="87"/>
              <w:spacing w:after="0"/>
              <w:rPr>
                <w:sz w:val="20"/>
                <w:szCs w:val="20"/>
                <w:color w:val="auto"/>
              </w:rPr>
            </w:pPr>
            <w:r>
              <w:rPr>
                <w:rFonts w:ascii="Arial" w:cs="Arial" w:eastAsia="Arial" w:hAnsi="Arial"/>
                <w:sz w:val="15"/>
                <w:szCs w:val="15"/>
                <w:color w:val="auto"/>
                <w:w w:val="71"/>
              </w:rPr>
              <w:t>$</w:t>
            </w:r>
          </w:p>
        </w:tc>
        <w:tc>
          <w:tcPr>
            <w:tcW w:w="1180" w:type="dxa"/>
            <w:vAlign w:val="bottom"/>
            <w:gridSpan w:val="2"/>
          </w:tcPr>
          <w:p>
            <w:pPr>
              <w:jc w:val="right"/>
              <w:ind w:right="140"/>
              <w:spacing w:after="0"/>
              <w:rPr>
                <w:sz w:val="20"/>
                <w:szCs w:val="20"/>
                <w:color w:val="auto"/>
              </w:rPr>
            </w:pPr>
            <w:r>
              <w:rPr>
                <w:rFonts w:ascii="Arial" w:cs="Arial" w:eastAsia="Arial" w:hAnsi="Arial"/>
                <w:sz w:val="18"/>
                <w:szCs w:val="18"/>
                <w:color w:val="404040"/>
              </w:rPr>
              <w:t>(</w:t>
            </w:r>
            <w:r>
              <w:rPr>
                <w:rFonts w:ascii="Arial" w:cs="Arial" w:eastAsia="Arial" w:hAnsi="Arial"/>
                <w:sz w:val="18"/>
                <w:szCs w:val="18"/>
                <w:color w:val="000000"/>
              </w:rPr>
              <w:t>0.1)</w:t>
            </w:r>
          </w:p>
        </w:tc>
        <w:tc>
          <w:tcPr>
            <w:tcW w:w="320" w:type="dxa"/>
            <w:vAlign w:val="bottom"/>
            <w:gridSpan w:val="2"/>
          </w:tcPr>
          <w:p>
            <w:pPr>
              <w:jc w:val="right"/>
              <w:ind w:right="160"/>
              <w:spacing w:after="0"/>
              <w:rPr>
                <w:sz w:val="20"/>
                <w:szCs w:val="20"/>
                <w:color w:val="auto"/>
              </w:rPr>
            </w:pPr>
            <w:r>
              <w:rPr>
                <w:rFonts w:ascii="Arial" w:cs="Arial" w:eastAsia="Arial" w:hAnsi="Arial"/>
                <w:sz w:val="18"/>
                <w:szCs w:val="18"/>
                <w:color w:val="auto"/>
              </w:rPr>
              <w:t>$</w:t>
            </w:r>
          </w:p>
        </w:tc>
        <w:tc>
          <w:tcPr>
            <w:tcW w:w="1140" w:type="dxa"/>
            <w:vAlign w:val="bottom"/>
            <w:gridSpan w:val="2"/>
          </w:tcPr>
          <w:p>
            <w:pPr>
              <w:jc w:val="right"/>
              <w:ind w:right="100"/>
              <w:spacing w:after="0"/>
              <w:rPr>
                <w:sz w:val="20"/>
                <w:szCs w:val="20"/>
                <w:color w:val="auto"/>
              </w:rPr>
            </w:pPr>
            <w:r>
              <w:rPr>
                <w:rFonts w:ascii="Arial" w:cs="Arial" w:eastAsia="Arial" w:hAnsi="Arial"/>
                <w:sz w:val="18"/>
                <w:szCs w:val="18"/>
                <w:color w:val="404040"/>
              </w:rPr>
              <w:t>(</w:t>
            </w:r>
            <w:r>
              <w:rPr>
                <w:rFonts w:ascii="Arial" w:cs="Arial" w:eastAsia="Arial" w:hAnsi="Arial"/>
                <w:sz w:val="18"/>
                <w:szCs w:val="18"/>
                <w:color w:val="000000"/>
              </w:rPr>
              <w:t>0.4)</w:t>
            </w:r>
          </w:p>
        </w:tc>
        <w:tc>
          <w:tcPr>
            <w:tcW w:w="0" w:type="dxa"/>
            <w:vAlign w:val="bottom"/>
          </w:tcPr>
          <w:p>
            <w:pPr>
              <w:spacing w:after="0"/>
              <w:rPr>
                <w:sz w:val="1"/>
                <w:szCs w:val="1"/>
                <w:color w:val="auto"/>
              </w:rPr>
            </w:pPr>
          </w:p>
        </w:tc>
      </w:tr>
      <w:tr>
        <w:trPr>
          <w:trHeight w:val="216"/>
        </w:trPr>
        <w:tc>
          <w:tcPr>
            <w:tcW w:w="6740" w:type="dxa"/>
            <w:vAlign w:val="bottom"/>
            <w:shd w:val="clear" w:color="auto" w:fill="CCEEFF"/>
          </w:tcPr>
          <w:p>
            <w:pPr>
              <w:spacing w:after="0"/>
              <w:rPr>
                <w:sz w:val="20"/>
                <w:szCs w:val="20"/>
                <w:color w:val="auto"/>
              </w:rPr>
            </w:pPr>
            <w:r>
              <w:rPr>
                <w:rFonts w:ascii="Arial" w:cs="Arial" w:eastAsia="Arial" w:hAnsi="Arial"/>
                <w:sz w:val="18"/>
                <w:szCs w:val="18"/>
                <w:color w:val="auto"/>
              </w:rPr>
              <w:t>Total revenues</w:t>
            </w:r>
          </w:p>
        </w:tc>
        <w:tc>
          <w:tcPr>
            <w:tcW w:w="3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w:t>
            </w:r>
          </w:p>
        </w:tc>
        <w:tc>
          <w:tcPr>
            <w:tcW w:w="126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22.0</w:t>
            </w:r>
          </w:p>
        </w:tc>
        <w:tc>
          <w:tcPr>
            <w:tcW w:w="240" w:type="dxa"/>
            <w:vAlign w:val="bottom"/>
            <w:shd w:val="clear" w:color="auto" w:fill="CCEEFF"/>
          </w:tcPr>
          <w:p>
            <w:pPr>
              <w:jc w:val="right"/>
              <w:ind w:right="87"/>
              <w:spacing w:after="0"/>
              <w:rPr>
                <w:sz w:val="20"/>
                <w:szCs w:val="20"/>
                <w:color w:val="auto"/>
              </w:rPr>
            </w:pPr>
            <w:r>
              <w:rPr>
                <w:rFonts w:ascii="Arial" w:cs="Arial" w:eastAsia="Arial" w:hAnsi="Arial"/>
                <w:sz w:val="15"/>
                <w:szCs w:val="15"/>
                <w:color w:val="auto"/>
                <w:w w:val="71"/>
              </w:rPr>
              <w:t>$</w:t>
            </w:r>
          </w:p>
        </w:tc>
        <w:tc>
          <w:tcPr>
            <w:tcW w:w="11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25.3</w:t>
            </w:r>
          </w:p>
        </w:tc>
        <w:tc>
          <w:tcPr>
            <w:tcW w:w="3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w:t>
            </w:r>
          </w:p>
        </w:tc>
        <w:tc>
          <w:tcPr>
            <w:tcW w:w="11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28.8</w:t>
            </w:r>
          </w:p>
        </w:tc>
        <w:tc>
          <w:tcPr>
            <w:tcW w:w="0" w:type="dxa"/>
            <w:vAlign w:val="bottom"/>
          </w:tcPr>
          <w:p>
            <w:pPr>
              <w:spacing w:after="0"/>
              <w:rPr>
                <w:sz w:val="1"/>
                <w:szCs w:val="1"/>
                <w:color w:val="auto"/>
              </w:rPr>
            </w:pPr>
          </w:p>
        </w:tc>
      </w:tr>
      <w:tr>
        <w:trPr>
          <w:trHeight w:val="216"/>
        </w:trPr>
        <w:tc>
          <w:tcPr>
            <w:tcW w:w="6740" w:type="dxa"/>
            <w:vAlign w:val="bottom"/>
          </w:tcPr>
          <w:p>
            <w:pPr>
              <w:spacing w:after="0"/>
              <w:rPr>
                <w:sz w:val="20"/>
                <w:szCs w:val="20"/>
                <w:color w:val="auto"/>
              </w:rPr>
            </w:pPr>
            <w:r>
              <w:rPr>
                <w:rFonts w:ascii="Arial" w:cs="Arial" w:eastAsia="Arial" w:hAnsi="Arial"/>
                <w:sz w:val="18"/>
                <w:szCs w:val="18"/>
                <w:color w:val="auto"/>
              </w:rPr>
              <w:t>Reversal for credit losses</w:t>
            </w:r>
          </w:p>
        </w:tc>
        <w:tc>
          <w:tcPr>
            <w:tcW w:w="360" w:type="dxa"/>
            <w:vAlign w:val="bottom"/>
            <w:gridSpan w:val="2"/>
          </w:tcPr>
          <w:p>
            <w:pPr>
              <w:jc w:val="right"/>
              <w:ind w:right="160"/>
              <w:spacing w:after="0"/>
              <w:rPr>
                <w:sz w:val="20"/>
                <w:szCs w:val="20"/>
                <w:color w:val="auto"/>
              </w:rPr>
            </w:pPr>
            <w:r>
              <w:rPr>
                <w:rFonts w:ascii="Arial" w:cs="Arial" w:eastAsia="Arial" w:hAnsi="Arial"/>
                <w:sz w:val="18"/>
                <w:szCs w:val="18"/>
                <w:color w:val="auto"/>
              </w:rPr>
              <w:t>$</w:t>
            </w:r>
          </w:p>
        </w:tc>
        <w:tc>
          <w:tcPr>
            <w:tcW w:w="1260" w:type="dxa"/>
            <w:vAlign w:val="bottom"/>
            <w:gridSpan w:val="2"/>
          </w:tcPr>
          <w:p>
            <w:pPr>
              <w:jc w:val="right"/>
              <w:ind w:right="280"/>
              <w:spacing w:after="0"/>
              <w:rPr>
                <w:sz w:val="20"/>
                <w:szCs w:val="20"/>
                <w:color w:val="auto"/>
              </w:rPr>
            </w:pPr>
            <w:r>
              <w:rPr>
                <w:rFonts w:ascii="Arial" w:cs="Arial" w:eastAsia="Arial" w:hAnsi="Arial"/>
                <w:sz w:val="18"/>
                <w:szCs w:val="18"/>
                <w:color w:val="auto"/>
              </w:rPr>
              <w:t>0.0</w:t>
            </w:r>
          </w:p>
        </w:tc>
        <w:tc>
          <w:tcPr>
            <w:tcW w:w="240" w:type="dxa"/>
            <w:vAlign w:val="bottom"/>
          </w:tcPr>
          <w:p>
            <w:pPr>
              <w:jc w:val="right"/>
              <w:ind w:right="87"/>
              <w:spacing w:after="0"/>
              <w:rPr>
                <w:sz w:val="20"/>
                <w:szCs w:val="20"/>
                <w:color w:val="auto"/>
              </w:rPr>
            </w:pPr>
            <w:r>
              <w:rPr>
                <w:rFonts w:ascii="Arial" w:cs="Arial" w:eastAsia="Arial" w:hAnsi="Arial"/>
                <w:sz w:val="15"/>
                <w:szCs w:val="15"/>
                <w:color w:val="auto"/>
                <w:w w:val="71"/>
              </w:rPr>
              <w:t>$</w:t>
            </w:r>
          </w:p>
        </w:tc>
        <w:tc>
          <w:tcPr>
            <w:tcW w:w="1180" w:type="dxa"/>
            <w:vAlign w:val="bottom"/>
            <w:gridSpan w:val="2"/>
          </w:tcPr>
          <w:p>
            <w:pPr>
              <w:jc w:val="right"/>
              <w:ind w:right="200"/>
              <w:spacing w:after="0"/>
              <w:rPr>
                <w:sz w:val="20"/>
                <w:szCs w:val="20"/>
                <w:color w:val="auto"/>
              </w:rPr>
            </w:pPr>
            <w:r>
              <w:rPr>
                <w:rFonts w:ascii="Arial" w:cs="Arial" w:eastAsia="Arial" w:hAnsi="Arial"/>
                <w:sz w:val="18"/>
                <w:szCs w:val="18"/>
                <w:color w:val="auto"/>
              </w:rPr>
              <w:t>0.3</w:t>
            </w:r>
          </w:p>
        </w:tc>
        <w:tc>
          <w:tcPr>
            <w:tcW w:w="320" w:type="dxa"/>
            <w:vAlign w:val="bottom"/>
            <w:gridSpan w:val="2"/>
          </w:tcPr>
          <w:p>
            <w:pPr>
              <w:jc w:val="right"/>
              <w:ind w:right="160"/>
              <w:spacing w:after="0"/>
              <w:rPr>
                <w:sz w:val="20"/>
                <w:szCs w:val="20"/>
                <w:color w:val="auto"/>
              </w:rPr>
            </w:pPr>
            <w:r>
              <w:rPr>
                <w:rFonts w:ascii="Arial" w:cs="Arial" w:eastAsia="Arial" w:hAnsi="Arial"/>
                <w:sz w:val="18"/>
                <w:szCs w:val="18"/>
                <w:color w:val="auto"/>
              </w:rPr>
              <w:t>$</w:t>
            </w:r>
          </w:p>
        </w:tc>
        <w:tc>
          <w:tcPr>
            <w:tcW w:w="1140" w:type="dxa"/>
            <w:vAlign w:val="bottom"/>
            <w:gridSpan w:val="2"/>
          </w:tcPr>
          <w:p>
            <w:pPr>
              <w:jc w:val="right"/>
              <w:ind w:right="160"/>
              <w:spacing w:after="0"/>
              <w:rPr>
                <w:sz w:val="20"/>
                <w:szCs w:val="20"/>
                <w:color w:val="auto"/>
              </w:rPr>
            </w:pPr>
            <w:r>
              <w:rPr>
                <w:rFonts w:ascii="Arial" w:cs="Arial" w:eastAsia="Arial" w:hAnsi="Arial"/>
                <w:sz w:val="18"/>
                <w:szCs w:val="18"/>
                <w:color w:val="auto"/>
              </w:rPr>
              <w:t>0.1</w:t>
            </w:r>
          </w:p>
        </w:tc>
        <w:tc>
          <w:tcPr>
            <w:tcW w:w="0" w:type="dxa"/>
            <w:vAlign w:val="bottom"/>
          </w:tcPr>
          <w:p>
            <w:pPr>
              <w:spacing w:after="0"/>
              <w:rPr>
                <w:sz w:val="1"/>
                <w:szCs w:val="1"/>
                <w:color w:val="auto"/>
              </w:rPr>
            </w:pPr>
          </w:p>
        </w:tc>
      </w:tr>
      <w:tr>
        <w:trPr>
          <w:trHeight w:val="216"/>
        </w:trPr>
        <w:tc>
          <w:tcPr>
            <w:tcW w:w="6740" w:type="dxa"/>
            <w:vAlign w:val="bottom"/>
            <w:shd w:val="clear" w:color="auto" w:fill="CCEEFF"/>
          </w:tcPr>
          <w:p>
            <w:pPr>
              <w:spacing w:after="0"/>
              <w:rPr>
                <w:sz w:val="20"/>
                <w:szCs w:val="20"/>
                <w:color w:val="auto"/>
              </w:rPr>
            </w:pPr>
            <w:r>
              <w:rPr>
                <w:rFonts w:ascii="Arial" w:cs="Arial" w:eastAsia="Arial" w:hAnsi="Arial"/>
                <w:sz w:val="18"/>
                <w:szCs w:val="18"/>
                <w:color w:val="auto"/>
              </w:rPr>
              <w:t>Operating expenses</w:t>
            </w:r>
          </w:p>
        </w:tc>
        <w:tc>
          <w:tcPr>
            <w:tcW w:w="3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404040"/>
              </w:rPr>
              <w:t>$</w:t>
            </w:r>
          </w:p>
        </w:tc>
        <w:tc>
          <w:tcPr>
            <w:tcW w:w="12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404040"/>
              </w:rPr>
              <w:t>(</w:t>
            </w:r>
            <w:r>
              <w:rPr>
                <w:rFonts w:ascii="Arial" w:cs="Arial" w:eastAsia="Arial" w:hAnsi="Arial"/>
                <w:sz w:val="18"/>
                <w:szCs w:val="18"/>
                <w:color w:val="000000"/>
              </w:rPr>
              <w:t>9.1)</w:t>
            </w:r>
          </w:p>
        </w:tc>
        <w:tc>
          <w:tcPr>
            <w:tcW w:w="240" w:type="dxa"/>
            <w:vAlign w:val="bottom"/>
            <w:shd w:val="clear" w:color="auto" w:fill="CCEEFF"/>
          </w:tcPr>
          <w:p>
            <w:pPr>
              <w:jc w:val="right"/>
              <w:ind w:right="87"/>
              <w:spacing w:after="0"/>
              <w:rPr>
                <w:sz w:val="20"/>
                <w:szCs w:val="20"/>
                <w:color w:val="auto"/>
              </w:rPr>
            </w:pPr>
            <w:r>
              <w:rPr>
                <w:rFonts w:ascii="Arial" w:cs="Arial" w:eastAsia="Arial" w:hAnsi="Arial"/>
                <w:sz w:val="15"/>
                <w:szCs w:val="15"/>
                <w:color w:val="auto"/>
                <w:w w:val="71"/>
              </w:rPr>
              <w:t>$</w:t>
            </w:r>
          </w:p>
        </w:tc>
        <w:tc>
          <w:tcPr>
            <w:tcW w:w="11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404040"/>
              </w:rPr>
              <w:t>(</w:t>
            </w:r>
            <w:r>
              <w:rPr>
                <w:rFonts w:ascii="Arial" w:cs="Arial" w:eastAsia="Arial" w:hAnsi="Arial"/>
                <w:sz w:val="18"/>
                <w:szCs w:val="18"/>
                <w:color w:val="000000"/>
              </w:rPr>
              <w:t>10.2)</w:t>
            </w:r>
          </w:p>
        </w:tc>
        <w:tc>
          <w:tcPr>
            <w:tcW w:w="3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w:t>
            </w:r>
          </w:p>
        </w:tc>
        <w:tc>
          <w:tcPr>
            <w:tcW w:w="11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404040"/>
              </w:rPr>
              <w:t>(</w:t>
            </w:r>
            <w:r>
              <w:rPr>
                <w:rFonts w:ascii="Arial" w:cs="Arial" w:eastAsia="Arial" w:hAnsi="Arial"/>
                <w:sz w:val="18"/>
                <w:szCs w:val="18"/>
                <w:color w:val="000000"/>
              </w:rPr>
              <w:t>10.5)</w:t>
            </w:r>
          </w:p>
        </w:tc>
        <w:tc>
          <w:tcPr>
            <w:tcW w:w="0" w:type="dxa"/>
            <w:vAlign w:val="bottom"/>
          </w:tcPr>
          <w:p>
            <w:pPr>
              <w:spacing w:after="0"/>
              <w:rPr>
                <w:sz w:val="1"/>
                <w:szCs w:val="1"/>
                <w:color w:val="auto"/>
              </w:rPr>
            </w:pPr>
          </w:p>
        </w:tc>
      </w:tr>
      <w:tr>
        <w:trPr>
          <w:trHeight w:val="216"/>
        </w:trPr>
        <w:tc>
          <w:tcPr>
            <w:tcW w:w="6740" w:type="dxa"/>
            <w:vAlign w:val="bottom"/>
          </w:tcPr>
          <w:p>
            <w:pPr>
              <w:spacing w:after="0"/>
              <w:rPr>
                <w:sz w:val="20"/>
                <w:szCs w:val="20"/>
                <w:color w:val="auto"/>
              </w:rPr>
            </w:pPr>
            <w:r>
              <w:rPr>
                <w:rFonts w:ascii="Arial" w:cs="Arial" w:eastAsia="Arial" w:hAnsi="Arial"/>
                <w:sz w:val="18"/>
                <w:szCs w:val="18"/>
                <w:color w:val="auto"/>
              </w:rPr>
              <w:t>Profit for the period</w:t>
            </w:r>
          </w:p>
        </w:tc>
        <w:tc>
          <w:tcPr>
            <w:tcW w:w="360" w:type="dxa"/>
            <w:vAlign w:val="bottom"/>
            <w:gridSpan w:val="2"/>
          </w:tcPr>
          <w:p>
            <w:pPr>
              <w:jc w:val="right"/>
              <w:ind w:right="160"/>
              <w:spacing w:after="0"/>
              <w:rPr>
                <w:sz w:val="20"/>
                <w:szCs w:val="20"/>
                <w:color w:val="auto"/>
              </w:rPr>
            </w:pPr>
            <w:r>
              <w:rPr>
                <w:rFonts w:ascii="Arial" w:cs="Arial" w:eastAsia="Arial" w:hAnsi="Arial"/>
                <w:sz w:val="18"/>
                <w:szCs w:val="18"/>
                <w:color w:val="auto"/>
              </w:rPr>
              <w:t>$</w:t>
            </w:r>
          </w:p>
        </w:tc>
        <w:tc>
          <w:tcPr>
            <w:tcW w:w="1260" w:type="dxa"/>
            <w:vAlign w:val="bottom"/>
            <w:gridSpan w:val="2"/>
          </w:tcPr>
          <w:p>
            <w:pPr>
              <w:jc w:val="right"/>
              <w:ind w:right="280"/>
              <w:spacing w:after="0"/>
              <w:rPr>
                <w:sz w:val="20"/>
                <w:szCs w:val="20"/>
                <w:color w:val="auto"/>
              </w:rPr>
            </w:pPr>
            <w:r>
              <w:rPr>
                <w:rFonts w:ascii="Arial" w:cs="Arial" w:eastAsia="Arial" w:hAnsi="Arial"/>
                <w:sz w:val="18"/>
                <w:szCs w:val="18"/>
                <w:color w:val="auto"/>
              </w:rPr>
              <w:t>12.8</w:t>
            </w:r>
          </w:p>
        </w:tc>
        <w:tc>
          <w:tcPr>
            <w:tcW w:w="240" w:type="dxa"/>
            <w:vAlign w:val="bottom"/>
          </w:tcPr>
          <w:p>
            <w:pPr>
              <w:jc w:val="right"/>
              <w:ind w:right="87"/>
              <w:spacing w:after="0"/>
              <w:rPr>
                <w:sz w:val="20"/>
                <w:szCs w:val="20"/>
                <w:color w:val="auto"/>
              </w:rPr>
            </w:pPr>
            <w:r>
              <w:rPr>
                <w:rFonts w:ascii="Arial" w:cs="Arial" w:eastAsia="Arial" w:hAnsi="Arial"/>
                <w:sz w:val="15"/>
                <w:szCs w:val="15"/>
                <w:color w:val="auto"/>
                <w:w w:val="71"/>
              </w:rPr>
              <w:t>$</w:t>
            </w:r>
          </w:p>
        </w:tc>
        <w:tc>
          <w:tcPr>
            <w:tcW w:w="1180" w:type="dxa"/>
            <w:vAlign w:val="bottom"/>
            <w:gridSpan w:val="2"/>
          </w:tcPr>
          <w:p>
            <w:pPr>
              <w:jc w:val="right"/>
              <w:ind w:right="200"/>
              <w:spacing w:after="0"/>
              <w:rPr>
                <w:sz w:val="20"/>
                <w:szCs w:val="20"/>
                <w:color w:val="auto"/>
              </w:rPr>
            </w:pPr>
            <w:r>
              <w:rPr>
                <w:rFonts w:ascii="Arial" w:cs="Arial" w:eastAsia="Arial" w:hAnsi="Arial"/>
                <w:sz w:val="18"/>
                <w:szCs w:val="18"/>
                <w:color w:val="auto"/>
              </w:rPr>
              <w:t>15.7</w:t>
            </w:r>
          </w:p>
        </w:tc>
        <w:tc>
          <w:tcPr>
            <w:tcW w:w="320" w:type="dxa"/>
            <w:vAlign w:val="bottom"/>
            <w:gridSpan w:val="2"/>
          </w:tcPr>
          <w:p>
            <w:pPr>
              <w:jc w:val="right"/>
              <w:ind w:right="160"/>
              <w:spacing w:after="0"/>
              <w:rPr>
                <w:sz w:val="20"/>
                <w:szCs w:val="20"/>
                <w:color w:val="auto"/>
              </w:rPr>
            </w:pPr>
            <w:r>
              <w:rPr>
                <w:rFonts w:ascii="Arial" w:cs="Arial" w:eastAsia="Arial" w:hAnsi="Arial"/>
                <w:sz w:val="18"/>
                <w:szCs w:val="18"/>
                <w:color w:val="auto"/>
              </w:rPr>
              <w:t>$</w:t>
            </w:r>
          </w:p>
        </w:tc>
        <w:tc>
          <w:tcPr>
            <w:tcW w:w="1140" w:type="dxa"/>
            <w:vAlign w:val="bottom"/>
            <w:gridSpan w:val="2"/>
          </w:tcPr>
          <w:p>
            <w:pPr>
              <w:jc w:val="right"/>
              <w:ind w:right="160"/>
              <w:spacing w:after="0"/>
              <w:rPr>
                <w:sz w:val="20"/>
                <w:szCs w:val="20"/>
                <w:color w:val="auto"/>
              </w:rPr>
            </w:pPr>
            <w:r>
              <w:rPr>
                <w:rFonts w:ascii="Arial" w:cs="Arial" w:eastAsia="Arial" w:hAnsi="Arial"/>
                <w:sz w:val="18"/>
                <w:szCs w:val="18"/>
                <w:color w:val="auto"/>
              </w:rPr>
              <w:t>18.3</w:t>
            </w:r>
          </w:p>
        </w:tc>
        <w:tc>
          <w:tcPr>
            <w:tcW w:w="0" w:type="dxa"/>
            <w:vAlign w:val="bottom"/>
          </w:tcPr>
          <w:p>
            <w:pPr>
              <w:spacing w:after="0"/>
              <w:rPr>
                <w:sz w:val="1"/>
                <w:szCs w:val="1"/>
                <w:color w:val="auto"/>
              </w:rPr>
            </w:pPr>
          </w:p>
        </w:tc>
      </w:tr>
      <w:tr>
        <w:trPr>
          <w:trHeight w:val="216"/>
        </w:trPr>
        <w:tc>
          <w:tcPr>
            <w:tcW w:w="67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Profitability Ratios</w:t>
            </w:r>
          </w:p>
        </w:tc>
        <w:tc>
          <w:tcPr>
            <w:tcW w:w="12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56"/>
        </w:trPr>
        <w:tc>
          <w:tcPr>
            <w:tcW w:w="6740" w:type="dxa"/>
            <w:vAlign w:val="bottom"/>
          </w:tcPr>
          <w:p>
            <w:pPr>
              <w:spacing w:after="0" w:line="256" w:lineRule="exact"/>
              <w:rPr>
                <w:sz w:val="20"/>
                <w:szCs w:val="20"/>
                <w:color w:val="auto"/>
              </w:rPr>
            </w:pPr>
            <w:r>
              <w:rPr>
                <w:rFonts w:ascii="Arial" w:cs="Arial" w:eastAsia="Arial" w:hAnsi="Arial"/>
                <w:sz w:val="18"/>
                <w:szCs w:val="18"/>
                <w:color w:val="auto"/>
              </w:rPr>
              <w:t xml:space="preserve">Earnings per Share ("EPS") </w:t>
            </w:r>
            <w:r>
              <w:rPr>
                <w:rFonts w:ascii="Arial" w:cs="Arial" w:eastAsia="Arial" w:hAnsi="Arial"/>
                <w:sz w:val="29"/>
                <w:szCs w:val="29"/>
                <w:color w:val="auto"/>
                <w:vertAlign w:val="superscript"/>
              </w:rPr>
              <w:t>(1)</w:t>
            </w:r>
          </w:p>
        </w:tc>
        <w:tc>
          <w:tcPr>
            <w:tcW w:w="360" w:type="dxa"/>
            <w:vAlign w:val="bottom"/>
            <w:gridSpan w:val="2"/>
          </w:tcPr>
          <w:p>
            <w:pPr>
              <w:jc w:val="right"/>
              <w:ind w:right="160"/>
              <w:spacing w:after="0"/>
              <w:rPr>
                <w:sz w:val="20"/>
                <w:szCs w:val="20"/>
                <w:color w:val="auto"/>
              </w:rPr>
            </w:pPr>
            <w:r>
              <w:rPr>
                <w:rFonts w:ascii="Arial" w:cs="Arial" w:eastAsia="Arial" w:hAnsi="Arial"/>
                <w:sz w:val="18"/>
                <w:szCs w:val="18"/>
                <w:color w:val="auto"/>
              </w:rPr>
              <w:t>$</w:t>
            </w:r>
          </w:p>
        </w:tc>
        <w:tc>
          <w:tcPr>
            <w:tcW w:w="1260" w:type="dxa"/>
            <w:vAlign w:val="bottom"/>
            <w:gridSpan w:val="2"/>
          </w:tcPr>
          <w:p>
            <w:pPr>
              <w:jc w:val="right"/>
              <w:ind w:right="280"/>
              <w:spacing w:after="0"/>
              <w:rPr>
                <w:sz w:val="20"/>
                <w:szCs w:val="20"/>
                <w:color w:val="auto"/>
              </w:rPr>
            </w:pPr>
            <w:r>
              <w:rPr>
                <w:rFonts w:ascii="Arial" w:cs="Arial" w:eastAsia="Arial" w:hAnsi="Arial"/>
                <w:sz w:val="18"/>
                <w:szCs w:val="18"/>
                <w:color w:val="auto"/>
              </w:rPr>
              <w:t>0.32</w:t>
            </w:r>
          </w:p>
        </w:tc>
        <w:tc>
          <w:tcPr>
            <w:tcW w:w="240" w:type="dxa"/>
            <w:vAlign w:val="bottom"/>
          </w:tcPr>
          <w:p>
            <w:pPr>
              <w:jc w:val="right"/>
              <w:ind w:right="87"/>
              <w:spacing w:after="0"/>
              <w:rPr>
                <w:sz w:val="20"/>
                <w:szCs w:val="20"/>
                <w:color w:val="auto"/>
              </w:rPr>
            </w:pPr>
            <w:r>
              <w:rPr>
                <w:rFonts w:ascii="Arial" w:cs="Arial" w:eastAsia="Arial" w:hAnsi="Arial"/>
                <w:sz w:val="15"/>
                <w:szCs w:val="15"/>
                <w:color w:val="auto"/>
                <w:w w:val="71"/>
              </w:rPr>
              <w:t>$</w:t>
            </w:r>
          </w:p>
        </w:tc>
        <w:tc>
          <w:tcPr>
            <w:tcW w:w="1180" w:type="dxa"/>
            <w:vAlign w:val="bottom"/>
            <w:gridSpan w:val="2"/>
          </w:tcPr>
          <w:p>
            <w:pPr>
              <w:jc w:val="right"/>
              <w:ind w:right="200"/>
              <w:spacing w:after="0"/>
              <w:rPr>
                <w:sz w:val="20"/>
                <w:szCs w:val="20"/>
                <w:color w:val="auto"/>
              </w:rPr>
            </w:pPr>
            <w:r>
              <w:rPr>
                <w:rFonts w:ascii="Arial" w:cs="Arial" w:eastAsia="Arial" w:hAnsi="Arial"/>
                <w:sz w:val="18"/>
                <w:szCs w:val="18"/>
                <w:color w:val="auto"/>
              </w:rPr>
              <w:t>0.40</w:t>
            </w:r>
          </w:p>
        </w:tc>
        <w:tc>
          <w:tcPr>
            <w:tcW w:w="320" w:type="dxa"/>
            <w:vAlign w:val="bottom"/>
            <w:gridSpan w:val="2"/>
          </w:tcPr>
          <w:p>
            <w:pPr>
              <w:jc w:val="right"/>
              <w:ind w:right="160"/>
              <w:spacing w:after="0"/>
              <w:rPr>
                <w:sz w:val="20"/>
                <w:szCs w:val="20"/>
                <w:color w:val="auto"/>
              </w:rPr>
            </w:pPr>
            <w:r>
              <w:rPr>
                <w:rFonts w:ascii="Arial" w:cs="Arial" w:eastAsia="Arial" w:hAnsi="Arial"/>
                <w:sz w:val="18"/>
                <w:szCs w:val="18"/>
                <w:color w:val="auto"/>
              </w:rPr>
              <w:t>$</w:t>
            </w:r>
          </w:p>
        </w:tc>
        <w:tc>
          <w:tcPr>
            <w:tcW w:w="1140" w:type="dxa"/>
            <w:vAlign w:val="bottom"/>
            <w:gridSpan w:val="2"/>
          </w:tcPr>
          <w:p>
            <w:pPr>
              <w:jc w:val="right"/>
              <w:ind w:right="160"/>
              <w:spacing w:after="0"/>
              <w:rPr>
                <w:sz w:val="20"/>
                <w:szCs w:val="20"/>
                <w:color w:val="auto"/>
              </w:rPr>
            </w:pPr>
            <w:r>
              <w:rPr>
                <w:rFonts w:ascii="Arial" w:cs="Arial" w:eastAsia="Arial" w:hAnsi="Arial"/>
                <w:sz w:val="18"/>
                <w:szCs w:val="18"/>
                <w:color w:val="auto"/>
              </w:rPr>
              <w:t>0.46</w:t>
            </w:r>
          </w:p>
        </w:tc>
        <w:tc>
          <w:tcPr>
            <w:tcW w:w="0" w:type="dxa"/>
            <w:vAlign w:val="bottom"/>
          </w:tcPr>
          <w:p>
            <w:pPr>
              <w:spacing w:after="0"/>
              <w:rPr>
                <w:sz w:val="1"/>
                <w:szCs w:val="1"/>
                <w:color w:val="auto"/>
              </w:rPr>
            </w:pPr>
          </w:p>
        </w:tc>
      </w:tr>
      <w:tr>
        <w:trPr>
          <w:trHeight w:val="257"/>
        </w:trPr>
        <w:tc>
          <w:tcPr>
            <w:tcW w:w="674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Return on Average Equity (“ROAE”) </w:t>
            </w:r>
            <w:r>
              <w:rPr>
                <w:rFonts w:ascii="Arial" w:cs="Arial" w:eastAsia="Arial" w:hAnsi="Arial"/>
                <w:sz w:val="29"/>
                <w:szCs w:val="29"/>
                <w:color w:val="auto"/>
                <w:vertAlign w:val="superscript"/>
              </w:rPr>
              <w:t>(2)</w:t>
            </w:r>
          </w:p>
        </w:tc>
        <w:tc>
          <w:tcPr>
            <w:tcW w:w="120" w:type="dxa"/>
            <w:vAlign w:val="bottom"/>
            <w:shd w:val="clear" w:color="auto" w:fill="CCEEFF"/>
          </w:tcPr>
          <w:p>
            <w:pPr>
              <w:spacing w:after="0"/>
              <w:rPr>
                <w:sz w:val="22"/>
                <w:szCs w:val="22"/>
                <w:color w:val="auto"/>
              </w:rPr>
            </w:pPr>
          </w:p>
        </w:tc>
        <w:tc>
          <w:tcPr>
            <w:tcW w:w="240" w:type="dxa"/>
            <w:vAlign w:val="bottom"/>
            <w:shd w:val="clear" w:color="auto" w:fill="CCEEFF"/>
          </w:tcPr>
          <w:p>
            <w:pPr>
              <w:spacing w:after="0"/>
              <w:rPr>
                <w:sz w:val="22"/>
                <w:szCs w:val="22"/>
                <w:color w:val="auto"/>
              </w:rPr>
            </w:pP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5.0%</w:t>
            </w:r>
          </w:p>
        </w:tc>
        <w:tc>
          <w:tcPr>
            <w:tcW w:w="240" w:type="dxa"/>
            <w:vAlign w:val="bottom"/>
            <w:shd w:val="clear" w:color="auto" w:fill="CCEEFF"/>
          </w:tcPr>
          <w:p>
            <w:pPr>
              <w:spacing w:after="0"/>
              <w:rPr>
                <w:sz w:val="22"/>
                <w:szCs w:val="22"/>
                <w:color w:val="auto"/>
              </w:rPr>
            </w:pPr>
          </w:p>
        </w:tc>
        <w:tc>
          <w:tcPr>
            <w:tcW w:w="11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6.1%</w:t>
            </w:r>
          </w:p>
        </w:tc>
        <w:tc>
          <w:tcPr>
            <w:tcW w:w="60" w:type="dxa"/>
            <w:vAlign w:val="bottom"/>
            <w:shd w:val="clear" w:color="auto" w:fill="CCEEFF"/>
          </w:tcPr>
          <w:p>
            <w:pPr>
              <w:spacing w:after="0"/>
              <w:rPr>
                <w:sz w:val="22"/>
                <w:szCs w:val="22"/>
                <w:color w:val="auto"/>
              </w:rPr>
            </w:pPr>
          </w:p>
        </w:tc>
        <w:tc>
          <w:tcPr>
            <w:tcW w:w="260" w:type="dxa"/>
            <w:vAlign w:val="bottom"/>
            <w:shd w:val="clear" w:color="auto" w:fill="CCEEFF"/>
          </w:tcPr>
          <w:p>
            <w:pPr>
              <w:spacing w:after="0"/>
              <w:rPr>
                <w:sz w:val="22"/>
                <w:szCs w:val="22"/>
                <w:color w:val="auto"/>
              </w:rPr>
            </w:pPr>
          </w:p>
        </w:tc>
        <w:tc>
          <w:tcPr>
            <w:tcW w:w="11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7.2%</w:t>
            </w:r>
          </w:p>
        </w:tc>
        <w:tc>
          <w:tcPr>
            <w:tcW w:w="0" w:type="dxa"/>
            <w:vAlign w:val="bottom"/>
          </w:tcPr>
          <w:p>
            <w:pPr>
              <w:spacing w:after="0"/>
              <w:rPr>
                <w:sz w:val="1"/>
                <w:szCs w:val="1"/>
                <w:color w:val="auto"/>
              </w:rPr>
            </w:pPr>
          </w:p>
        </w:tc>
      </w:tr>
      <w:tr>
        <w:trPr>
          <w:trHeight w:val="216"/>
        </w:trPr>
        <w:tc>
          <w:tcPr>
            <w:tcW w:w="6740" w:type="dxa"/>
            <w:vAlign w:val="bottom"/>
          </w:tcPr>
          <w:p>
            <w:pPr>
              <w:spacing w:after="0"/>
              <w:rPr>
                <w:sz w:val="20"/>
                <w:szCs w:val="20"/>
                <w:color w:val="auto"/>
              </w:rPr>
            </w:pPr>
            <w:r>
              <w:rPr>
                <w:rFonts w:ascii="Arial" w:cs="Arial" w:eastAsia="Arial" w:hAnsi="Arial"/>
                <w:sz w:val="18"/>
                <w:szCs w:val="18"/>
                <w:color w:val="auto"/>
              </w:rPr>
              <w:t>Return on Average Assets (“ROAA”)</w:t>
            </w:r>
          </w:p>
        </w:tc>
        <w:tc>
          <w:tcPr>
            <w:tcW w:w="1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60" w:type="dxa"/>
            <w:vAlign w:val="bottom"/>
            <w:gridSpan w:val="2"/>
          </w:tcPr>
          <w:p>
            <w:pPr>
              <w:jc w:val="right"/>
              <w:ind w:right="120"/>
              <w:spacing w:after="0"/>
              <w:rPr>
                <w:sz w:val="20"/>
                <w:szCs w:val="20"/>
                <w:color w:val="auto"/>
              </w:rPr>
            </w:pPr>
            <w:r>
              <w:rPr>
                <w:rFonts w:ascii="Arial" w:cs="Arial" w:eastAsia="Arial" w:hAnsi="Arial"/>
                <w:sz w:val="18"/>
                <w:szCs w:val="18"/>
                <w:color w:val="auto"/>
              </w:rPr>
              <w:t>0.8%</w:t>
            </w:r>
          </w:p>
        </w:tc>
        <w:tc>
          <w:tcPr>
            <w:tcW w:w="240" w:type="dxa"/>
            <w:vAlign w:val="bottom"/>
          </w:tcPr>
          <w:p>
            <w:pPr>
              <w:spacing w:after="0"/>
              <w:rPr>
                <w:sz w:val="18"/>
                <w:szCs w:val="18"/>
                <w:color w:val="auto"/>
              </w:rPr>
            </w:pPr>
          </w:p>
        </w:tc>
        <w:tc>
          <w:tcPr>
            <w:tcW w:w="1180" w:type="dxa"/>
            <w:vAlign w:val="bottom"/>
            <w:gridSpan w:val="2"/>
          </w:tcPr>
          <w:p>
            <w:pPr>
              <w:jc w:val="right"/>
              <w:ind w:right="60"/>
              <w:spacing w:after="0"/>
              <w:rPr>
                <w:sz w:val="20"/>
                <w:szCs w:val="20"/>
                <w:color w:val="auto"/>
              </w:rPr>
            </w:pPr>
            <w:r>
              <w:rPr>
                <w:rFonts w:ascii="Arial" w:cs="Arial" w:eastAsia="Arial" w:hAnsi="Arial"/>
                <w:sz w:val="18"/>
                <w:szCs w:val="18"/>
                <w:color w:val="auto"/>
              </w:rPr>
              <w:t>1.0%</w:t>
            </w:r>
          </w:p>
        </w:tc>
        <w:tc>
          <w:tcPr>
            <w:tcW w:w="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40" w:type="dxa"/>
            <w:vAlign w:val="bottom"/>
            <w:gridSpan w:val="2"/>
          </w:tcPr>
          <w:p>
            <w:pPr>
              <w:jc w:val="right"/>
              <w:ind w:right="20"/>
              <w:spacing w:after="0"/>
              <w:rPr>
                <w:sz w:val="20"/>
                <w:szCs w:val="20"/>
                <w:color w:val="auto"/>
              </w:rPr>
            </w:pPr>
            <w:r>
              <w:rPr>
                <w:rFonts w:ascii="Arial" w:cs="Arial" w:eastAsia="Arial" w:hAnsi="Arial"/>
                <w:sz w:val="18"/>
                <w:szCs w:val="18"/>
                <w:color w:val="auto"/>
              </w:rPr>
              <w:t>1.1%</w:t>
            </w:r>
          </w:p>
        </w:tc>
        <w:tc>
          <w:tcPr>
            <w:tcW w:w="0" w:type="dxa"/>
            <w:vAlign w:val="bottom"/>
          </w:tcPr>
          <w:p>
            <w:pPr>
              <w:spacing w:after="0"/>
              <w:rPr>
                <w:sz w:val="1"/>
                <w:szCs w:val="1"/>
                <w:color w:val="auto"/>
              </w:rPr>
            </w:pPr>
          </w:p>
        </w:tc>
      </w:tr>
      <w:tr>
        <w:trPr>
          <w:trHeight w:val="257"/>
        </w:trPr>
        <w:tc>
          <w:tcPr>
            <w:tcW w:w="674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Net Interest Margin ("NIM") </w:t>
            </w:r>
            <w:r>
              <w:rPr>
                <w:rFonts w:ascii="Arial" w:cs="Arial" w:eastAsia="Arial" w:hAnsi="Arial"/>
                <w:sz w:val="29"/>
                <w:szCs w:val="29"/>
                <w:color w:val="auto"/>
                <w:vertAlign w:val="superscript"/>
              </w:rPr>
              <w:t>(3)</w:t>
            </w:r>
          </w:p>
        </w:tc>
        <w:tc>
          <w:tcPr>
            <w:tcW w:w="120" w:type="dxa"/>
            <w:vAlign w:val="bottom"/>
            <w:shd w:val="clear" w:color="auto" w:fill="CCEEFF"/>
          </w:tcPr>
          <w:p>
            <w:pPr>
              <w:spacing w:after="0"/>
              <w:rPr>
                <w:sz w:val="22"/>
                <w:szCs w:val="22"/>
                <w:color w:val="auto"/>
              </w:rPr>
            </w:pPr>
          </w:p>
        </w:tc>
        <w:tc>
          <w:tcPr>
            <w:tcW w:w="240" w:type="dxa"/>
            <w:vAlign w:val="bottom"/>
            <w:shd w:val="clear" w:color="auto" w:fill="CCEEFF"/>
          </w:tcPr>
          <w:p>
            <w:pPr>
              <w:spacing w:after="0"/>
              <w:rPr>
                <w:sz w:val="22"/>
                <w:szCs w:val="22"/>
                <w:color w:val="auto"/>
              </w:rPr>
            </w:pP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1.24%</w:t>
            </w:r>
          </w:p>
        </w:tc>
        <w:tc>
          <w:tcPr>
            <w:tcW w:w="240" w:type="dxa"/>
            <w:vAlign w:val="bottom"/>
            <w:shd w:val="clear" w:color="auto" w:fill="CCEEFF"/>
          </w:tcPr>
          <w:p>
            <w:pPr>
              <w:spacing w:after="0"/>
              <w:rPr>
                <w:sz w:val="22"/>
                <w:szCs w:val="22"/>
                <w:color w:val="auto"/>
              </w:rPr>
            </w:pPr>
          </w:p>
        </w:tc>
        <w:tc>
          <w:tcPr>
            <w:tcW w:w="11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1.37%</w:t>
            </w:r>
          </w:p>
        </w:tc>
        <w:tc>
          <w:tcPr>
            <w:tcW w:w="60" w:type="dxa"/>
            <w:vAlign w:val="bottom"/>
            <w:shd w:val="clear" w:color="auto" w:fill="CCEEFF"/>
          </w:tcPr>
          <w:p>
            <w:pPr>
              <w:spacing w:after="0"/>
              <w:rPr>
                <w:sz w:val="22"/>
                <w:szCs w:val="22"/>
                <w:color w:val="auto"/>
              </w:rPr>
            </w:pPr>
          </w:p>
        </w:tc>
        <w:tc>
          <w:tcPr>
            <w:tcW w:w="260" w:type="dxa"/>
            <w:vAlign w:val="bottom"/>
            <w:shd w:val="clear" w:color="auto" w:fill="CCEEFF"/>
          </w:tcPr>
          <w:p>
            <w:pPr>
              <w:spacing w:after="0"/>
              <w:rPr>
                <w:sz w:val="22"/>
                <w:szCs w:val="22"/>
                <w:color w:val="auto"/>
              </w:rPr>
            </w:pPr>
          </w:p>
        </w:tc>
        <w:tc>
          <w:tcPr>
            <w:tcW w:w="11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1.59%</w:t>
            </w:r>
          </w:p>
        </w:tc>
        <w:tc>
          <w:tcPr>
            <w:tcW w:w="0" w:type="dxa"/>
            <w:vAlign w:val="bottom"/>
          </w:tcPr>
          <w:p>
            <w:pPr>
              <w:spacing w:after="0"/>
              <w:rPr>
                <w:sz w:val="1"/>
                <w:szCs w:val="1"/>
                <w:color w:val="auto"/>
              </w:rPr>
            </w:pPr>
          </w:p>
        </w:tc>
      </w:tr>
      <w:tr>
        <w:trPr>
          <w:trHeight w:val="256"/>
        </w:trPr>
        <w:tc>
          <w:tcPr>
            <w:tcW w:w="6740" w:type="dxa"/>
            <w:vAlign w:val="bottom"/>
          </w:tcPr>
          <w:p>
            <w:pPr>
              <w:spacing w:after="0" w:line="256" w:lineRule="exact"/>
              <w:rPr>
                <w:sz w:val="20"/>
                <w:szCs w:val="20"/>
                <w:color w:val="auto"/>
              </w:rPr>
            </w:pPr>
            <w:r>
              <w:rPr>
                <w:rFonts w:ascii="Arial" w:cs="Arial" w:eastAsia="Arial" w:hAnsi="Arial"/>
                <w:sz w:val="18"/>
                <w:szCs w:val="18"/>
                <w:color w:val="auto"/>
              </w:rPr>
              <w:t xml:space="preserve">Net Interest Spread ("NIS") </w:t>
            </w:r>
            <w:r>
              <w:rPr>
                <w:rFonts w:ascii="Arial" w:cs="Arial" w:eastAsia="Arial" w:hAnsi="Arial"/>
                <w:sz w:val="29"/>
                <w:szCs w:val="29"/>
                <w:color w:val="auto"/>
                <w:vertAlign w:val="superscript"/>
              </w:rPr>
              <w:t>(4)</w:t>
            </w:r>
          </w:p>
        </w:tc>
        <w:tc>
          <w:tcPr>
            <w:tcW w:w="120" w:type="dxa"/>
            <w:vAlign w:val="bottom"/>
          </w:tcPr>
          <w:p>
            <w:pPr>
              <w:spacing w:after="0"/>
              <w:rPr>
                <w:sz w:val="22"/>
                <w:szCs w:val="22"/>
                <w:color w:val="auto"/>
              </w:rPr>
            </w:pPr>
          </w:p>
        </w:tc>
        <w:tc>
          <w:tcPr>
            <w:tcW w:w="240" w:type="dxa"/>
            <w:vAlign w:val="bottom"/>
          </w:tcPr>
          <w:p>
            <w:pPr>
              <w:spacing w:after="0"/>
              <w:rPr>
                <w:sz w:val="22"/>
                <w:szCs w:val="22"/>
                <w:color w:val="auto"/>
              </w:rPr>
            </w:pPr>
          </w:p>
        </w:tc>
        <w:tc>
          <w:tcPr>
            <w:tcW w:w="1260" w:type="dxa"/>
            <w:vAlign w:val="bottom"/>
            <w:gridSpan w:val="2"/>
          </w:tcPr>
          <w:p>
            <w:pPr>
              <w:jc w:val="right"/>
              <w:ind w:right="120"/>
              <w:spacing w:after="0"/>
              <w:rPr>
                <w:sz w:val="20"/>
                <w:szCs w:val="20"/>
                <w:color w:val="auto"/>
              </w:rPr>
            </w:pPr>
            <w:r>
              <w:rPr>
                <w:rFonts w:ascii="Arial" w:cs="Arial" w:eastAsia="Arial" w:hAnsi="Arial"/>
                <w:sz w:val="18"/>
                <w:szCs w:val="18"/>
                <w:color w:val="auto"/>
              </w:rPr>
              <w:t>1.04%</w:t>
            </w:r>
          </w:p>
        </w:tc>
        <w:tc>
          <w:tcPr>
            <w:tcW w:w="240" w:type="dxa"/>
            <w:vAlign w:val="bottom"/>
          </w:tcPr>
          <w:p>
            <w:pPr>
              <w:spacing w:after="0"/>
              <w:rPr>
                <w:sz w:val="22"/>
                <w:szCs w:val="22"/>
                <w:color w:val="auto"/>
              </w:rPr>
            </w:pPr>
          </w:p>
        </w:tc>
        <w:tc>
          <w:tcPr>
            <w:tcW w:w="1180" w:type="dxa"/>
            <w:vAlign w:val="bottom"/>
            <w:gridSpan w:val="2"/>
          </w:tcPr>
          <w:p>
            <w:pPr>
              <w:jc w:val="right"/>
              <w:ind w:right="60"/>
              <w:spacing w:after="0"/>
              <w:rPr>
                <w:sz w:val="20"/>
                <w:szCs w:val="20"/>
                <w:color w:val="auto"/>
              </w:rPr>
            </w:pPr>
            <w:r>
              <w:rPr>
                <w:rFonts w:ascii="Arial" w:cs="Arial" w:eastAsia="Arial" w:hAnsi="Arial"/>
                <w:sz w:val="18"/>
                <w:szCs w:val="18"/>
                <w:color w:val="auto"/>
              </w:rPr>
              <w:t>1.17%</w:t>
            </w:r>
          </w:p>
        </w:tc>
        <w:tc>
          <w:tcPr>
            <w:tcW w:w="60" w:type="dxa"/>
            <w:vAlign w:val="bottom"/>
          </w:tcPr>
          <w:p>
            <w:pPr>
              <w:spacing w:after="0"/>
              <w:rPr>
                <w:sz w:val="22"/>
                <w:szCs w:val="22"/>
                <w:color w:val="auto"/>
              </w:rPr>
            </w:pPr>
          </w:p>
        </w:tc>
        <w:tc>
          <w:tcPr>
            <w:tcW w:w="260" w:type="dxa"/>
            <w:vAlign w:val="bottom"/>
          </w:tcPr>
          <w:p>
            <w:pPr>
              <w:spacing w:after="0"/>
              <w:rPr>
                <w:sz w:val="22"/>
                <w:szCs w:val="22"/>
                <w:color w:val="auto"/>
              </w:rPr>
            </w:pPr>
          </w:p>
        </w:tc>
        <w:tc>
          <w:tcPr>
            <w:tcW w:w="1140" w:type="dxa"/>
            <w:vAlign w:val="bottom"/>
            <w:gridSpan w:val="2"/>
          </w:tcPr>
          <w:p>
            <w:pPr>
              <w:jc w:val="right"/>
              <w:ind w:right="20"/>
              <w:spacing w:after="0"/>
              <w:rPr>
                <w:sz w:val="20"/>
                <w:szCs w:val="20"/>
                <w:color w:val="auto"/>
              </w:rPr>
            </w:pPr>
            <w:r>
              <w:rPr>
                <w:rFonts w:ascii="Arial" w:cs="Arial" w:eastAsia="Arial" w:hAnsi="Arial"/>
                <w:sz w:val="18"/>
                <w:szCs w:val="18"/>
                <w:color w:val="auto"/>
              </w:rPr>
              <w:t>1.16%</w:t>
            </w:r>
          </w:p>
        </w:tc>
        <w:tc>
          <w:tcPr>
            <w:tcW w:w="0" w:type="dxa"/>
            <w:vAlign w:val="bottom"/>
          </w:tcPr>
          <w:p>
            <w:pPr>
              <w:spacing w:after="0"/>
              <w:rPr>
                <w:sz w:val="1"/>
                <w:szCs w:val="1"/>
                <w:color w:val="auto"/>
              </w:rPr>
            </w:pPr>
          </w:p>
        </w:tc>
      </w:tr>
      <w:tr>
        <w:trPr>
          <w:trHeight w:val="257"/>
        </w:trPr>
        <w:tc>
          <w:tcPr>
            <w:tcW w:w="674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Efficiency Ratio </w:t>
            </w:r>
            <w:r>
              <w:rPr>
                <w:rFonts w:ascii="Arial" w:cs="Arial" w:eastAsia="Arial" w:hAnsi="Arial"/>
                <w:sz w:val="29"/>
                <w:szCs w:val="29"/>
                <w:color w:val="auto"/>
                <w:vertAlign w:val="superscript"/>
              </w:rPr>
              <w:t>(5)</w:t>
            </w:r>
          </w:p>
        </w:tc>
        <w:tc>
          <w:tcPr>
            <w:tcW w:w="120" w:type="dxa"/>
            <w:vAlign w:val="bottom"/>
            <w:shd w:val="clear" w:color="auto" w:fill="CCEEFF"/>
          </w:tcPr>
          <w:p>
            <w:pPr>
              <w:spacing w:after="0"/>
              <w:rPr>
                <w:sz w:val="22"/>
                <w:szCs w:val="22"/>
                <w:color w:val="auto"/>
              </w:rPr>
            </w:pPr>
          </w:p>
        </w:tc>
        <w:tc>
          <w:tcPr>
            <w:tcW w:w="240" w:type="dxa"/>
            <w:vAlign w:val="bottom"/>
            <w:shd w:val="clear" w:color="auto" w:fill="CCEEFF"/>
          </w:tcPr>
          <w:p>
            <w:pPr>
              <w:spacing w:after="0"/>
              <w:rPr>
                <w:sz w:val="22"/>
                <w:szCs w:val="22"/>
                <w:color w:val="auto"/>
              </w:rPr>
            </w:pP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41.6%</w:t>
            </w:r>
          </w:p>
        </w:tc>
        <w:tc>
          <w:tcPr>
            <w:tcW w:w="240" w:type="dxa"/>
            <w:vAlign w:val="bottom"/>
            <w:shd w:val="clear" w:color="auto" w:fill="CCEEFF"/>
          </w:tcPr>
          <w:p>
            <w:pPr>
              <w:spacing w:after="0"/>
              <w:rPr>
                <w:sz w:val="22"/>
                <w:szCs w:val="22"/>
                <w:color w:val="auto"/>
              </w:rPr>
            </w:pPr>
          </w:p>
        </w:tc>
        <w:tc>
          <w:tcPr>
            <w:tcW w:w="11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40.2%</w:t>
            </w:r>
          </w:p>
        </w:tc>
        <w:tc>
          <w:tcPr>
            <w:tcW w:w="60" w:type="dxa"/>
            <w:vAlign w:val="bottom"/>
            <w:shd w:val="clear" w:color="auto" w:fill="CCEEFF"/>
          </w:tcPr>
          <w:p>
            <w:pPr>
              <w:spacing w:after="0"/>
              <w:rPr>
                <w:sz w:val="22"/>
                <w:szCs w:val="22"/>
                <w:color w:val="auto"/>
              </w:rPr>
            </w:pPr>
          </w:p>
        </w:tc>
        <w:tc>
          <w:tcPr>
            <w:tcW w:w="260" w:type="dxa"/>
            <w:vAlign w:val="bottom"/>
            <w:shd w:val="clear" w:color="auto" w:fill="CCEEFF"/>
          </w:tcPr>
          <w:p>
            <w:pPr>
              <w:spacing w:after="0"/>
              <w:rPr>
                <w:sz w:val="22"/>
                <w:szCs w:val="22"/>
                <w:color w:val="auto"/>
              </w:rPr>
            </w:pPr>
          </w:p>
        </w:tc>
        <w:tc>
          <w:tcPr>
            <w:tcW w:w="11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36.7%</w:t>
            </w:r>
          </w:p>
        </w:tc>
        <w:tc>
          <w:tcPr>
            <w:tcW w:w="0" w:type="dxa"/>
            <w:vAlign w:val="bottom"/>
          </w:tcPr>
          <w:p>
            <w:pPr>
              <w:spacing w:after="0"/>
              <w:rPr>
                <w:sz w:val="1"/>
                <w:szCs w:val="1"/>
                <w:color w:val="auto"/>
              </w:rPr>
            </w:pPr>
          </w:p>
        </w:tc>
      </w:tr>
      <w:tr>
        <w:trPr>
          <w:trHeight w:val="216"/>
        </w:trPr>
        <w:tc>
          <w:tcPr>
            <w:tcW w:w="6740" w:type="dxa"/>
            <w:vAlign w:val="bottom"/>
          </w:tcPr>
          <w:p>
            <w:pPr>
              <w:spacing w:after="0"/>
              <w:rPr>
                <w:sz w:val="20"/>
                <w:szCs w:val="20"/>
                <w:color w:val="auto"/>
              </w:rPr>
            </w:pPr>
            <w:r>
              <w:rPr>
                <w:rFonts w:ascii="Arial" w:cs="Arial" w:eastAsia="Arial" w:hAnsi="Arial"/>
                <w:sz w:val="18"/>
                <w:szCs w:val="18"/>
                <w:b w:val="1"/>
                <w:bCs w:val="1"/>
                <w:color w:val="auto"/>
              </w:rPr>
              <w:t>Assets, Capital, Liquidity &amp; Credit Quality</w:t>
            </w:r>
          </w:p>
        </w:tc>
        <w:tc>
          <w:tcPr>
            <w:tcW w:w="1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674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Credit Portfolio </w:t>
            </w:r>
            <w:r>
              <w:rPr>
                <w:rFonts w:ascii="Arial" w:cs="Arial" w:eastAsia="Arial" w:hAnsi="Arial"/>
                <w:sz w:val="29"/>
                <w:szCs w:val="29"/>
                <w:color w:val="auto"/>
                <w:vertAlign w:val="superscript"/>
              </w:rPr>
              <w:t>(6)</w:t>
            </w:r>
          </w:p>
        </w:tc>
        <w:tc>
          <w:tcPr>
            <w:tcW w:w="3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w:t>
            </w:r>
          </w:p>
        </w:tc>
        <w:tc>
          <w:tcPr>
            <w:tcW w:w="126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6,097</w:t>
            </w:r>
          </w:p>
        </w:tc>
        <w:tc>
          <w:tcPr>
            <w:tcW w:w="240" w:type="dxa"/>
            <w:vAlign w:val="bottom"/>
            <w:shd w:val="clear" w:color="auto" w:fill="CCEEFF"/>
          </w:tcPr>
          <w:p>
            <w:pPr>
              <w:jc w:val="right"/>
              <w:ind w:right="87"/>
              <w:spacing w:after="0"/>
              <w:rPr>
                <w:sz w:val="20"/>
                <w:szCs w:val="20"/>
                <w:color w:val="auto"/>
              </w:rPr>
            </w:pPr>
            <w:r>
              <w:rPr>
                <w:rFonts w:ascii="Arial" w:cs="Arial" w:eastAsia="Arial" w:hAnsi="Arial"/>
                <w:sz w:val="15"/>
                <w:szCs w:val="15"/>
                <w:color w:val="auto"/>
                <w:w w:val="71"/>
              </w:rPr>
              <w:t>$</w:t>
            </w:r>
          </w:p>
        </w:tc>
        <w:tc>
          <w:tcPr>
            <w:tcW w:w="11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5,946</w:t>
            </w:r>
          </w:p>
        </w:tc>
        <w:tc>
          <w:tcPr>
            <w:tcW w:w="3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w:t>
            </w:r>
          </w:p>
        </w:tc>
        <w:tc>
          <w:tcPr>
            <w:tcW w:w="11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5,911</w:t>
            </w:r>
          </w:p>
        </w:tc>
        <w:tc>
          <w:tcPr>
            <w:tcW w:w="0" w:type="dxa"/>
            <w:vAlign w:val="bottom"/>
          </w:tcPr>
          <w:p>
            <w:pPr>
              <w:spacing w:after="0"/>
              <w:rPr>
                <w:sz w:val="1"/>
                <w:szCs w:val="1"/>
                <w:color w:val="auto"/>
              </w:rPr>
            </w:pPr>
          </w:p>
        </w:tc>
      </w:tr>
      <w:tr>
        <w:trPr>
          <w:trHeight w:val="256"/>
        </w:trPr>
        <w:tc>
          <w:tcPr>
            <w:tcW w:w="6740" w:type="dxa"/>
            <w:vAlign w:val="bottom"/>
          </w:tcPr>
          <w:p>
            <w:pPr>
              <w:spacing w:after="0" w:line="256" w:lineRule="exact"/>
              <w:rPr>
                <w:sz w:val="20"/>
                <w:szCs w:val="20"/>
                <w:color w:val="auto"/>
              </w:rPr>
            </w:pPr>
            <w:r>
              <w:rPr>
                <w:rFonts w:ascii="Arial" w:cs="Arial" w:eastAsia="Arial" w:hAnsi="Arial"/>
                <w:sz w:val="18"/>
                <w:szCs w:val="18"/>
                <w:color w:val="auto"/>
              </w:rPr>
              <w:t xml:space="preserve">Commercial Portfolio </w:t>
            </w:r>
            <w:r>
              <w:rPr>
                <w:rFonts w:ascii="Arial" w:cs="Arial" w:eastAsia="Arial" w:hAnsi="Arial"/>
                <w:sz w:val="29"/>
                <w:szCs w:val="29"/>
                <w:color w:val="auto"/>
                <w:vertAlign w:val="superscript"/>
              </w:rPr>
              <w:t>(7)</w:t>
            </w:r>
          </w:p>
        </w:tc>
        <w:tc>
          <w:tcPr>
            <w:tcW w:w="360" w:type="dxa"/>
            <w:vAlign w:val="bottom"/>
            <w:gridSpan w:val="2"/>
          </w:tcPr>
          <w:p>
            <w:pPr>
              <w:jc w:val="right"/>
              <w:ind w:right="160"/>
              <w:spacing w:after="0"/>
              <w:rPr>
                <w:sz w:val="20"/>
                <w:szCs w:val="20"/>
                <w:color w:val="auto"/>
              </w:rPr>
            </w:pPr>
            <w:r>
              <w:rPr>
                <w:rFonts w:ascii="Arial" w:cs="Arial" w:eastAsia="Arial" w:hAnsi="Arial"/>
                <w:sz w:val="18"/>
                <w:szCs w:val="18"/>
                <w:color w:val="auto"/>
              </w:rPr>
              <w:t>$</w:t>
            </w:r>
          </w:p>
        </w:tc>
        <w:tc>
          <w:tcPr>
            <w:tcW w:w="1260" w:type="dxa"/>
            <w:vAlign w:val="bottom"/>
            <w:gridSpan w:val="2"/>
          </w:tcPr>
          <w:p>
            <w:pPr>
              <w:jc w:val="right"/>
              <w:ind w:right="280"/>
              <w:spacing w:after="0"/>
              <w:rPr>
                <w:sz w:val="20"/>
                <w:szCs w:val="20"/>
                <w:color w:val="auto"/>
              </w:rPr>
            </w:pPr>
            <w:r>
              <w:rPr>
                <w:rFonts w:ascii="Arial" w:cs="Arial" w:eastAsia="Arial" w:hAnsi="Arial"/>
                <w:sz w:val="18"/>
                <w:szCs w:val="18"/>
                <w:color w:val="auto"/>
              </w:rPr>
              <w:t>5,708</w:t>
            </w:r>
          </w:p>
        </w:tc>
        <w:tc>
          <w:tcPr>
            <w:tcW w:w="240" w:type="dxa"/>
            <w:vAlign w:val="bottom"/>
          </w:tcPr>
          <w:p>
            <w:pPr>
              <w:jc w:val="right"/>
              <w:ind w:right="87"/>
              <w:spacing w:after="0"/>
              <w:rPr>
                <w:sz w:val="20"/>
                <w:szCs w:val="20"/>
                <w:color w:val="auto"/>
              </w:rPr>
            </w:pPr>
            <w:r>
              <w:rPr>
                <w:rFonts w:ascii="Arial" w:cs="Arial" w:eastAsia="Arial" w:hAnsi="Arial"/>
                <w:sz w:val="15"/>
                <w:szCs w:val="15"/>
                <w:color w:val="auto"/>
                <w:w w:val="71"/>
              </w:rPr>
              <w:t>$</w:t>
            </w:r>
          </w:p>
        </w:tc>
        <w:tc>
          <w:tcPr>
            <w:tcW w:w="1180" w:type="dxa"/>
            <w:vAlign w:val="bottom"/>
            <w:gridSpan w:val="2"/>
          </w:tcPr>
          <w:p>
            <w:pPr>
              <w:jc w:val="right"/>
              <w:ind w:right="200"/>
              <w:spacing w:after="0"/>
              <w:rPr>
                <w:sz w:val="20"/>
                <w:szCs w:val="20"/>
                <w:color w:val="auto"/>
              </w:rPr>
            </w:pPr>
            <w:r>
              <w:rPr>
                <w:rFonts w:ascii="Arial" w:cs="Arial" w:eastAsia="Arial" w:hAnsi="Arial"/>
                <w:sz w:val="18"/>
                <w:szCs w:val="18"/>
                <w:color w:val="auto"/>
              </w:rPr>
              <w:t>5,551</w:t>
            </w:r>
          </w:p>
        </w:tc>
        <w:tc>
          <w:tcPr>
            <w:tcW w:w="320" w:type="dxa"/>
            <w:vAlign w:val="bottom"/>
            <w:gridSpan w:val="2"/>
          </w:tcPr>
          <w:p>
            <w:pPr>
              <w:jc w:val="right"/>
              <w:ind w:right="160"/>
              <w:spacing w:after="0"/>
              <w:rPr>
                <w:sz w:val="20"/>
                <w:szCs w:val="20"/>
                <w:color w:val="auto"/>
              </w:rPr>
            </w:pPr>
            <w:r>
              <w:rPr>
                <w:rFonts w:ascii="Arial" w:cs="Arial" w:eastAsia="Arial" w:hAnsi="Arial"/>
                <w:sz w:val="18"/>
                <w:szCs w:val="18"/>
                <w:color w:val="auto"/>
              </w:rPr>
              <w:t>$</w:t>
            </w:r>
          </w:p>
        </w:tc>
        <w:tc>
          <w:tcPr>
            <w:tcW w:w="1140" w:type="dxa"/>
            <w:vAlign w:val="bottom"/>
            <w:gridSpan w:val="2"/>
          </w:tcPr>
          <w:p>
            <w:pPr>
              <w:jc w:val="right"/>
              <w:ind w:right="160"/>
              <w:spacing w:after="0"/>
              <w:rPr>
                <w:sz w:val="20"/>
                <w:szCs w:val="20"/>
                <w:color w:val="auto"/>
              </w:rPr>
            </w:pPr>
            <w:r>
              <w:rPr>
                <w:rFonts w:ascii="Arial" w:cs="Arial" w:eastAsia="Arial" w:hAnsi="Arial"/>
                <w:sz w:val="18"/>
                <w:szCs w:val="18"/>
                <w:color w:val="auto"/>
              </w:rPr>
              <w:t>5,832</w:t>
            </w:r>
          </w:p>
        </w:tc>
        <w:tc>
          <w:tcPr>
            <w:tcW w:w="0" w:type="dxa"/>
            <w:vAlign w:val="bottom"/>
          </w:tcPr>
          <w:p>
            <w:pPr>
              <w:spacing w:after="0"/>
              <w:rPr>
                <w:sz w:val="1"/>
                <w:szCs w:val="1"/>
                <w:color w:val="auto"/>
              </w:rPr>
            </w:pPr>
          </w:p>
        </w:tc>
      </w:tr>
      <w:tr>
        <w:trPr>
          <w:trHeight w:val="216"/>
        </w:trPr>
        <w:tc>
          <w:tcPr>
            <w:tcW w:w="6740" w:type="dxa"/>
            <w:vAlign w:val="bottom"/>
            <w:shd w:val="clear" w:color="auto" w:fill="CCEEFF"/>
          </w:tcPr>
          <w:p>
            <w:pPr>
              <w:spacing w:after="0"/>
              <w:rPr>
                <w:sz w:val="20"/>
                <w:szCs w:val="20"/>
                <w:color w:val="auto"/>
              </w:rPr>
            </w:pPr>
            <w:r>
              <w:rPr>
                <w:rFonts w:ascii="Arial" w:cs="Arial" w:eastAsia="Arial" w:hAnsi="Arial"/>
                <w:sz w:val="18"/>
                <w:szCs w:val="18"/>
                <w:color w:val="auto"/>
              </w:rPr>
              <w:t>Investment Portfolio</w:t>
            </w:r>
          </w:p>
        </w:tc>
        <w:tc>
          <w:tcPr>
            <w:tcW w:w="3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w:t>
            </w:r>
          </w:p>
        </w:tc>
        <w:tc>
          <w:tcPr>
            <w:tcW w:w="126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389</w:t>
            </w:r>
          </w:p>
        </w:tc>
        <w:tc>
          <w:tcPr>
            <w:tcW w:w="240" w:type="dxa"/>
            <w:vAlign w:val="bottom"/>
            <w:shd w:val="clear" w:color="auto" w:fill="CCEEFF"/>
          </w:tcPr>
          <w:p>
            <w:pPr>
              <w:jc w:val="right"/>
              <w:ind w:right="87"/>
              <w:spacing w:after="0"/>
              <w:rPr>
                <w:sz w:val="20"/>
                <w:szCs w:val="20"/>
                <w:color w:val="auto"/>
              </w:rPr>
            </w:pPr>
            <w:r>
              <w:rPr>
                <w:rFonts w:ascii="Arial" w:cs="Arial" w:eastAsia="Arial" w:hAnsi="Arial"/>
                <w:sz w:val="15"/>
                <w:szCs w:val="15"/>
                <w:color w:val="auto"/>
                <w:w w:val="71"/>
              </w:rPr>
              <w:t>$</w:t>
            </w:r>
          </w:p>
        </w:tc>
        <w:tc>
          <w:tcPr>
            <w:tcW w:w="11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395</w:t>
            </w:r>
          </w:p>
        </w:tc>
        <w:tc>
          <w:tcPr>
            <w:tcW w:w="3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w:t>
            </w:r>
          </w:p>
        </w:tc>
        <w:tc>
          <w:tcPr>
            <w:tcW w:w="11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79</w:t>
            </w:r>
          </w:p>
        </w:tc>
        <w:tc>
          <w:tcPr>
            <w:tcW w:w="0" w:type="dxa"/>
            <w:vAlign w:val="bottom"/>
          </w:tcPr>
          <w:p>
            <w:pPr>
              <w:spacing w:after="0"/>
              <w:rPr>
                <w:sz w:val="1"/>
                <w:szCs w:val="1"/>
                <w:color w:val="auto"/>
              </w:rPr>
            </w:pPr>
          </w:p>
        </w:tc>
      </w:tr>
      <w:tr>
        <w:trPr>
          <w:trHeight w:val="216"/>
        </w:trPr>
        <w:tc>
          <w:tcPr>
            <w:tcW w:w="6740" w:type="dxa"/>
            <w:vAlign w:val="bottom"/>
          </w:tcPr>
          <w:p>
            <w:pPr>
              <w:spacing w:after="0"/>
              <w:rPr>
                <w:sz w:val="20"/>
                <w:szCs w:val="20"/>
                <w:color w:val="auto"/>
              </w:rPr>
            </w:pPr>
            <w:r>
              <w:rPr>
                <w:rFonts w:ascii="Arial" w:cs="Arial" w:eastAsia="Arial" w:hAnsi="Arial"/>
                <w:sz w:val="18"/>
                <w:szCs w:val="18"/>
                <w:color w:val="auto"/>
              </w:rPr>
              <w:t>Total assets</w:t>
            </w:r>
          </w:p>
        </w:tc>
        <w:tc>
          <w:tcPr>
            <w:tcW w:w="360" w:type="dxa"/>
            <w:vAlign w:val="bottom"/>
            <w:gridSpan w:val="2"/>
          </w:tcPr>
          <w:p>
            <w:pPr>
              <w:jc w:val="right"/>
              <w:ind w:right="160"/>
              <w:spacing w:after="0"/>
              <w:rPr>
                <w:sz w:val="20"/>
                <w:szCs w:val="20"/>
                <w:color w:val="auto"/>
              </w:rPr>
            </w:pPr>
            <w:r>
              <w:rPr>
                <w:rFonts w:ascii="Arial" w:cs="Arial" w:eastAsia="Arial" w:hAnsi="Arial"/>
                <w:sz w:val="18"/>
                <w:szCs w:val="18"/>
                <w:color w:val="auto"/>
              </w:rPr>
              <w:t>$</w:t>
            </w:r>
          </w:p>
        </w:tc>
        <w:tc>
          <w:tcPr>
            <w:tcW w:w="1260" w:type="dxa"/>
            <w:vAlign w:val="bottom"/>
            <w:gridSpan w:val="2"/>
          </w:tcPr>
          <w:p>
            <w:pPr>
              <w:jc w:val="right"/>
              <w:ind w:right="280"/>
              <w:spacing w:after="0"/>
              <w:rPr>
                <w:sz w:val="20"/>
                <w:szCs w:val="20"/>
                <w:color w:val="auto"/>
              </w:rPr>
            </w:pPr>
            <w:r>
              <w:rPr>
                <w:rFonts w:ascii="Arial" w:cs="Arial" w:eastAsia="Arial" w:hAnsi="Arial"/>
                <w:sz w:val="18"/>
                <w:szCs w:val="18"/>
                <w:color w:val="auto"/>
              </w:rPr>
              <w:t>6,375</w:t>
            </w:r>
          </w:p>
        </w:tc>
        <w:tc>
          <w:tcPr>
            <w:tcW w:w="240" w:type="dxa"/>
            <w:vAlign w:val="bottom"/>
          </w:tcPr>
          <w:p>
            <w:pPr>
              <w:jc w:val="right"/>
              <w:ind w:right="87"/>
              <w:spacing w:after="0"/>
              <w:rPr>
                <w:sz w:val="20"/>
                <w:szCs w:val="20"/>
                <w:color w:val="auto"/>
              </w:rPr>
            </w:pPr>
            <w:r>
              <w:rPr>
                <w:rFonts w:ascii="Arial" w:cs="Arial" w:eastAsia="Arial" w:hAnsi="Arial"/>
                <w:sz w:val="15"/>
                <w:szCs w:val="15"/>
                <w:color w:val="auto"/>
                <w:w w:val="71"/>
              </w:rPr>
              <w:t>$</w:t>
            </w:r>
          </w:p>
        </w:tc>
        <w:tc>
          <w:tcPr>
            <w:tcW w:w="1180" w:type="dxa"/>
            <w:vAlign w:val="bottom"/>
            <w:gridSpan w:val="2"/>
          </w:tcPr>
          <w:p>
            <w:pPr>
              <w:jc w:val="right"/>
              <w:ind w:right="200"/>
              <w:spacing w:after="0"/>
              <w:rPr>
                <w:sz w:val="20"/>
                <w:szCs w:val="20"/>
                <w:color w:val="auto"/>
              </w:rPr>
            </w:pPr>
            <w:r>
              <w:rPr>
                <w:rFonts w:ascii="Arial" w:cs="Arial" w:eastAsia="Arial" w:hAnsi="Arial"/>
                <w:sz w:val="18"/>
                <w:szCs w:val="18"/>
                <w:color w:val="auto"/>
              </w:rPr>
              <w:t>6,289</w:t>
            </w:r>
          </w:p>
        </w:tc>
        <w:tc>
          <w:tcPr>
            <w:tcW w:w="320" w:type="dxa"/>
            <w:vAlign w:val="bottom"/>
            <w:gridSpan w:val="2"/>
          </w:tcPr>
          <w:p>
            <w:pPr>
              <w:jc w:val="right"/>
              <w:ind w:right="160"/>
              <w:spacing w:after="0"/>
              <w:rPr>
                <w:sz w:val="20"/>
                <w:szCs w:val="20"/>
                <w:color w:val="auto"/>
              </w:rPr>
            </w:pPr>
            <w:r>
              <w:rPr>
                <w:rFonts w:ascii="Arial" w:cs="Arial" w:eastAsia="Arial" w:hAnsi="Arial"/>
                <w:sz w:val="18"/>
                <w:szCs w:val="18"/>
                <w:color w:val="auto"/>
              </w:rPr>
              <w:t>$</w:t>
            </w:r>
          </w:p>
        </w:tc>
        <w:tc>
          <w:tcPr>
            <w:tcW w:w="1140" w:type="dxa"/>
            <w:vAlign w:val="bottom"/>
            <w:gridSpan w:val="2"/>
          </w:tcPr>
          <w:p>
            <w:pPr>
              <w:jc w:val="right"/>
              <w:ind w:right="160"/>
              <w:spacing w:after="0"/>
              <w:rPr>
                <w:sz w:val="20"/>
                <w:szCs w:val="20"/>
                <w:color w:val="auto"/>
              </w:rPr>
            </w:pPr>
            <w:r>
              <w:rPr>
                <w:rFonts w:ascii="Arial" w:cs="Arial" w:eastAsia="Arial" w:hAnsi="Arial"/>
                <w:sz w:val="18"/>
                <w:szCs w:val="18"/>
                <w:color w:val="auto"/>
              </w:rPr>
              <w:t>6,823</w:t>
            </w:r>
          </w:p>
        </w:tc>
        <w:tc>
          <w:tcPr>
            <w:tcW w:w="0" w:type="dxa"/>
            <w:vAlign w:val="bottom"/>
          </w:tcPr>
          <w:p>
            <w:pPr>
              <w:spacing w:after="0"/>
              <w:rPr>
                <w:sz w:val="1"/>
                <w:szCs w:val="1"/>
                <w:color w:val="auto"/>
              </w:rPr>
            </w:pPr>
          </w:p>
        </w:tc>
      </w:tr>
      <w:tr>
        <w:trPr>
          <w:trHeight w:val="216"/>
        </w:trPr>
        <w:tc>
          <w:tcPr>
            <w:tcW w:w="6740" w:type="dxa"/>
            <w:vAlign w:val="bottom"/>
            <w:shd w:val="clear" w:color="auto" w:fill="CCEEFF"/>
          </w:tcPr>
          <w:p>
            <w:pPr>
              <w:spacing w:after="0"/>
              <w:rPr>
                <w:sz w:val="20"/>
                <w:szCs w:val="20"/>
                <w:color w:val="auto"/>
              </w:rPr>
            </w:pPr>
            <w:r>
              <w:rPr>
                <w:rFonts w:ascii="Arial" w:cs="Arial" w:eastAsia="Arial" w:hAnsi="Arial"/>
                <w:sz w:val="18"/>
                <w:szCs w:val="18"/>
                <w:color w:val="auto"/>
              </w:rPr>
              <w:t>Total equity</w:t>
            </w:r>
          </w:p>
        </w:tc>
        <w:tc>
          <w:tcPr>
            <w:tcW w:w="3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w:t>
            </w:r>
          </w:p>
        </w:tc>
        <w:tc>
          <w:tcPr>
            <w:tcW w:w="126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1,037</w:t>
            </w:r>
          </w:p>
        </w:tc>
        <w:tc>
          <w:tcPr>
            <w:tcW w:w="240" w:type="dxa"/>
            <w:vAlign w:val="bottom"/>
            <w:shd w:val="clear" w:color="auto" w:fill="CCEEFF"/>
          </w:tcPr>
          <w:p>
            <w:pPr>
              <w:jc w:val="right"/>
              <w:ind w:right="87"/>
              <w:spacing w:after="0"/>
              <w:rPr>
                <w:sz w:val="20"/>
                <w:szCs w:val="20"/>
                <w:color w:val="auto"/>
              </w:rPr>
            </w:pPr>
            <w:r>
              <w:rPr>
                <w:rFonts w:ascii="Arial" w:cs="Arial" w:eastAsia="Arial" w:hAnsi="Arial"/>
                <w:sz w:val="15"/>
                <w:szCs w:val="15"/>
                <w:color w:val="auto"/>
                <w:w w:val="71"/>
              </w:rPr>
              <w:t>$</w:t>
            </w:r>
          </w:p>
        </w:tc>
        <w:tc>
          <w:tcPr>
            <w:tcW w:w="11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1,038</w:t>
            </w:r>
          </w:p>
        </w:tc>
        <w:tc>
          <w:tcPr>
            <w:tcW w:w="3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w:t>
            </w:r>
          </w:p>
        </w:tc>
        <w:tc>
          <w:tcPr>
            <w:tcW w:w="11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1,018</w:t>
            </w:r>
          </w:p>
        </w:tc>
        <w:tc>
          <w:tcPr>
            <w:tcW w:w="0" w:type="dxa"/>
            <w:vAlign w:val="bottom"/>
          </w:tcPr>
          <w:p>
            <w:pPr>
              <w:spacing w:after="0"/>
              <w:rPr>
                <w:sz w:val="1"/>
                <w:szCs w:val="1"/>
                <w:color w:val="auto"/>
              </w:rPr>
            </w:pPr>
          </w:p>
        </w:tc>
      </w:tr>
      <w:tr>
        <w:trPr>
          <w:trHeight w:val="257"/>
        </w:trPr>
        <w:tc>
          <w:tcPr>
            <w:tcW w:w="6740" w:type="dxa"/>
            <w:vAlign w:val="bottom"/>
          </w:tcPr>
          <w:p>
            <w:pPr>
              <w:spacing w:after="0" w:line="256" w:lineRule="exact"/>
              <w:rPr>
                <w:sz w:val="20"/>
                <w:szCs w:val="20"/>
                <w:color w:val="auto"/>
              </w:rPr>
            </w:pPr>
            <w:r>
              <w:rPr>
                <w:rFonts w:ascii="Arial" w:cs="Arial" w:eastAsia="Arial" w:hAnsi="Arial"/>
                <w:sz w:val="18"/>
                <w:szCs w:val="18"/>
                <w:color w:val="auto"/>
              </w:rPr>
              <w:t xml:space="preserve">Market capitalization </w:t>
            </w:r>
            <w:r>
              <w:rPr>
                <w:rFonts w:ascii="Arial" w:cs="Arial" w:eastAsia="Arial" w:hAnsi="Arial"/>
                <w:sz w:val="29"/>
                <w:szCs w:val="29"/>
                <w:color w:val="auto"/>
                <w:vertAlign w:val="superscript"/>
              </w:rPr>
              <w:t>(8)</w:t>
            </w:r>
          </w:p>
        </w:tc>
        <w:tc>
          <w:tcPr>
            <w:tcW w:w="360" w:type="dxa"/>
            <w:vAlign w:val="bottom"/>
            <w:gridSpan w:val="2"/>
          </w:tcPr>
          <w:p>
            <w:pPr>
              <w:jc w:val="right"/>
              <w:ind w:right="160"/>
              <w:spacing w:after="0"/>
              <w:rPr>
                <w:sz w:val="20"/>
                <w:szCs w:val="20"/>
                <w:color w:val="auto"/>
              </w:rPr>
            </w:pPr>
            <w:r>
              <w:rPr>
                <w:rFonts w:ascii="Arial" w:cs="Arial" w:eastAsia="Arial" w:hAnsi="Arial"/>
                <w:sz w:val="18"/>
                <w:szCs w:val="18"/>
                <w:color w:val="auto"/>
              </w:rPr>
              <w:t>$</w:t>
            </w:r>
          </w:p>
        </w:tc>
        <w:tc>
          <w:tcPr>
            <w:tcW w:w="1260" w:type="dxa"/>
            <w:vAlign w:val="bottom"/>
            <w:gridSpan w:val="2"/>
          </w:tcPr>
          <w:p>
            <w:pPr>
              <w:jc w:val="right"/>
              <w:ind w:right="280"/>
              <w:spacing w:after="0"/>
              <w:rPr>
                <w:sz w:val="20"/>
                <w:szCs w:val="20"/>
                <w:color w:val="auto"/>
              </w:rPr>
            </w:pPr>
            <w:r>
              <w:rPr>
                <w:rFonts w:ascii="Arial" w:cs="Arial" w:eastAsia="Arial" w:hAnsi="Arial"/>
                <w:sz w:val="18"/>
                <w:szCs w:val="18"/>
                <w:color w:val="auto"/>
              </w:rPr>
              <w:t>601</w:t>
            </w:r>
          </w:p>
        </w:tc>
        <w:tc>
          <w:tcPr>
            <w:tcW w:w="240" w:type="dxa"/>
            <w:vAlign w:val="bottom"/>
          </w:tcPr>
          <w:p>
            <w:pPr>
              <w:jc w:val="right"/>
              <w:ind w:right="87"/>
              <w:spacing w:after="0"/>
              <w:rPr>
                <w:sz w:val="20"/>
                <w:szCs w:val="20"/>
                <w:color w:val="auto"/>
              </w:rPr>
            </w:pPr>
            <w:r>
              <w:rPr>
                <w:rFonts w:ascii="Arial" w:cs="Arial" w:eastAsia="Arial" w:hAnsi="Arial"/>
                <w:sz w:val="15"/>
                <w:szCs w:val="15"/>
                <w:color w:val="auto"/>
                <w:w w:val="71"/>
              </w:rPr>
              <w:t>$</w:t>
            </w:r>
          </w:p>
        </w:tc>
        <w:tc>
          <w:tcPr>
            <w:tcW w:w="1180" w:type="dxa"/>
            <w:vAlign w:val="bottom"/>
            <w:gridSpan w:val="2"/>
          </w:tcPr>
          <w:p>
            <w:pPr>
              <w:jc w:val="right"/>
              <w:ind w:right="200"/>
              <w:spacing w:after="0"/>
              <w:rPr>
                <w:sz w:val="20"/>
                <w:szCs w:val="20"/>
                <w:color w:val="auto"/>
              </w:rPr>
            </w:pPr>
            <w:r>
              <w:rPr>
                <w:rFonts w:ascii="Arial" w:cs="Arial" w:eastAsia="Arial" w:hAnsi="Arial"/>
                <w:sz w:val="18"/>
                <w:szCs w:val="18"/>
                <w:color w:val="auto"/>
              </w:rPr>
              <w:t>628</w:t>
            </w:r>
          </w:p>
        </w:tc>
        <w:tc>
          <w:tcPr>
            <w:tcW w:w="320" w:type="dxa"/>
            <w:vAlign w:val="bottom"/>
            <w:gridSpan w:val="2"/>
          </w:tcPr>
          <w:p>
            <w:pPr>
              <w:jc w:val="right"/>
              <w:ind w:right="160"/>
              <w:spacing w:after="0"/>
              <w:rPr>
                <w:sz w:val="20"/>
                <w:szCs w:val="20"/>
                <w:color w:val="auto"/>
              </w:rPr>
            </w:pPr>
            <w:r>
              <w:rPr>
                <w:rFonts w:ascii="Arial" w:cs="Arial" w:eastAsia="Arial" w:hAnsi="Arial"/>
                <w:sz w:val="18"/>
                <w:szCs w:val="18"/>
                <w:color w:val="auto"/>
              </w:rPr>
              <w:t>$</w:t>
            </w:r>
          </w:p>
        </w:tc>
        <w:tc>
          <w:tcPr>
            <w:tcW w:w="1140" w:type="dxa"/>
            <w:vAlign w:val="bottom"/>
            <w:gridSpan w:val="2"/>
          </w:tcPr>
          <w:p>
            <w:pPr>
              <w:jc w:val="right"/>
              <w:ind w:right="160"/>
              <w:spacing w:after="0"/>
              <w:rPr>
                <w:sz w:val="20"/>
                <w:szCs w:val="20"/>
                <w:color w:val="auto"/>
              </w:rPr>
            </w:pPr>
            <w:r>
              <w:rPr>
                <w:rFonts w:ascii="Arial" w:cs="Arial" w:eastAsia="Arial" w:hAnsi="Arial"/>
                <w:sz w:val="18"/>
                <w:szCs w:val="18"/>
                <w:color w:val="auto"/>
              </w:rPr>
              <w:t>408</w:t>
            </w:r>
          </w:p>
        </w:tc>
        <w:tc>
          <w:tcPr>
            <w:tcW w:w="0" w:type="dxa"/>
            <w:vAlign w:val="bottom"/>
          </w:tcPr>
          <w:p>
            <w:pPr>
              <w:spacing w:after="0"/>
              <w:rPr>
                <w:sz w:val="1"/>
                <w:szCs w:val="1"/>
                <w:color w:val="auto"/>
              </w:rPr>
            </w:pPr>
          </w:p>
        </w:tc>
      </w:tr>
      <w:tr>
        <w:trPr>
          <w:trHeight w:val="256"/>
        </w:trPr>
        <w:tc>
          <w:tcPr>
            <w:tcW w:w="674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Tier 1 Capital to risk-weighted assets (Basel III – IRB) </w:t>
            </w:r>
            <w:r>
              <w:rPr>
                <w:rFonts w:ascii="Arial" w:cs="Arial" w:eastAsia="Arial" w:hAnsi="Arial"/>
                <w:sz w:val="29"/>
                <w:szCs w:val="29"/>
                <w:color w:val="auto"/>
                <w:vertAlign w:val="superscript"/>
              </w:rPr>
              <w:t>(9)</w:t>
            </w:r>
          </w:p>
        </w:tc>
        <w:tc>
          <w:tcPr>
            <w:tcW w:w="120" w:type="dxa"/>
            <w:vAlign w:val="bottom"/>
            <w:shd w:val="clear" w:color="auto" w:fill="CCEEFF"/>
          </w:tcPr>
          <w:p>
            <w:pPr>
              <w:spacing w:after="0"/>
              <w:rPr>
                <w:sz w:val="22"/>
                <w:szCs w:val="22"/>
                <w:color w:val="auto"/>
              </w:rPr>
            </w:pPr>
          </w:p>
        </w:tc>
        <w:tc>
          <w:tcPr>
            <w:tcW w:w="240" w:type="dxa"/>
            <w:vAlign w:val="bottom"/>
            <w:shd w:val="clear" w:color="auto" w:fill="CCEEFF"/>
          </w:tcPr>
          <w:p>
            <w:pPr>
              <w:spacing w:after="0"/>
              <w:rPr>
                <w:sz w:val="22"/>
                <w:szCs w:val="22"/>
                <w:color w:val="auto"/>
              </w:rPr>
            </w:pP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26.3%</w:t>
            </w:r>
          </w:p>
        </w:tc>
        <w:tc>
          <w:tcPr>
            <w:tcW w:w="240" w:type="dxa"/>
            <w:vAlign w:val="bottom"/>
            <w:shd w:val="clear" w:color="auto" w:fill="CCEEFF"/>
          </w:tcPr>
          <w:p>
            <w:pPr>
              <w:spacing w:after="0"/>
              <w:rPr>
                <w:sz w:val="22"/>
                <w:szCs w:val="22"/>
                <w:color w:val="auto"/>
              </w:rPr>
            </w:pPr>
          </w:p>
        </w:tc>
        <w:tc>
          <w:tcPr>
            <w:tcW w:w="11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26.0%</w:t>
            </w:r>
          </w:p>
        </w:tc>
        <w:tc>
          <w:tcPr>
            <w:tcW w:w="60" w:type="dxa"/>
            <w:vAlign w:val="bottom"/>
            <w:shd w:val="clear" w:color="auto" w:fill="CCEEFF"/>
          </w:tcPr>
          <w:p>
            <w:pPr>
              <w:spacing w:after="0"/>
              <w:rPr>
                <w:sz w:val="22"/>
                <w:szCs w:val="22"/>
                <w:color w:val="auto"/>
              </w:rPr>
            </w:pPr>
          </w:p>
        </w:tc>
        <w:tc>
          <w:tcPr>
            <w:tcW w:w="260" w:type="dxa"/>
            <w:vAlign w:val="bottom"/>
            <w:shd w:val="clear" w:color="auto" w:fill="CCEEFF"/>
          </w:tcPr>
          <w:p>
            <w:pPr>
              <w:spacing w:after="0"/>
              <w:rPr>
                <w:sz w:val="22"/>
                <w:szCs w:val="22"/>
                <w:color w:val="auto"/>
              </w:rPr>
            </w:pPr>
          </w:p>
        </w:tc>
        <w:tc>
          <w:tcPr>
            <w:tcW w:w="11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21.8%</w:t>
            </w:r>
          </w:p>
        </w:tc>
        <w:tc>
          <w:tcPr>
            <w:tcW w:w="0" w:type="dxa"/>
            <w:vAlign w:val="bottom"/>
          </w:tcPr>
          <w:p>
            <w:pPr>
              <w:spacing w:after="0"/>
              <w:rPr>
                <w:sz w:val="1"/>
                <w:szCs w:val="1"/>
                <w:color w:val="auto"/>
              </w:rPr>
            </w:pPr>
          </w:p>
        </w:tc>
      </w:tr>
      <w:tr>
        <w:trPr>
          <w:trHeight w:val="256"/>
        </w:trPr>
        <w:tc>
          <w:tcPr>
            <w:tcW w:w="6740" w:type="dxa"/>
            <w:vAlign w:val="bottom"/>
          </w:tcPr>
          <w:p>
            <w:pPr>
              <w:spacing w:after="0" w:line="256" w:lineRule="exact"/>
              <w:rPr>
                <w:sz w:val="20"/>
                <w:szCs w:val="20"/>
                <w:color w:val="auto"/>
              </w:rPr>
            </w:pPr>
            <w:r>
              <w:rPr>
                <w:rFonts w:ascii="Arial" w:cs="Arial" w:eastAsia="Arial" w:hAnsi="Arial"/>
                <w:sz w:val="18"/>
                <w:szCs w:val="18"/>
                <w:color w:val="auto"/>
              </w:rPr>
              <w:t xml:space="preserve">Capital Adequacy Ratio (Regulatory) </w:t>
            </w:r>
            <w:r>
              <w:rPr>
                <w:rFonts w:ascii="Arial" w:cs="Arial" w:eastAsia="Arial" w:hAnsi="Arial"/>
                <w:sz w:val="29"/>
                <w:szCs w:val="29"/>
                <w:color w:val="auto"/>
                <w:vertAlign w:val="superscript"/>
              </w:rPr>
              <w:t>(10)</w:t>
            </w:r>
          </w:p>
        </w:tc>
        <w:tc>
          <w:tcPr>
            <w:tcW w:w="120" w:type="dxa"/>
            <w:vAlign w:val="bottom"/>
          </w:tcPr>
          <w:p>
            <w:pPr>
              <w:spacing w:after="0"/>
              <w:rPr>
                <w:sz w:val="22"/>
                <w:szCs w:val="22"/>
                <w:color w:val="auto"/>
              </w:rPr>
            </w:pPr>
          </w:p>
        </w:tc>
        <w:tc>
          <w:tcPr>
            <w:tcW w:w="240" w:type="dxa"/>
            <w:vAlign w:val="bottom"/>
          </w:tcPr>
          <w:p>
            <w:pPr>
              <w:spacing w:after="0"/>
              <w:rPr>
                <w:sz w:val="22"/>
                <w:szCs w:val="22"/>
                <w:color w:val="auto"/>
              </w:rPr>
            </w:pPr>
          </w:p>
        </w:tc>
        <w:tc>
          <w:tcPr>
            <w:tcW w:w="1260" w:type="dxa"/>
            <w:vAlign w:val="bottom"/>
            <w:gridSpan w:val="2"/>
          </w:tcPr>
          <w:p>
            <w:pPr>
              <w:jc w:val="right"/>
              <w:ind w:right="120"/>
              <w:spacing w:after="0"/>
              <w:rPr>
                <w:sz w:val="20"/>
                <w:szCs w:val="20"/>
                <w:color w:val="auto"/>
              </w:rPr>
            </w:pPr>
            <w:r>
              <w:rPr>
                <w:rFonts w:ascii="Arial" w:cs="Arial" w:eastAsia="Arial" w:hAnsi="Arial"/>
                <w:sz w:val="18"/>
                <w:szCs w:val="18"/>
                <w:color w:val="auto"/>
              </w:rPr>
              <w:t>19.4%</w:t>
            </w:r>
          </w:p>
        </w:tc>
        <w:tc>
          <w:tcPr>
            <w:tcW w:w="240" w:type="dxa"/>
            <w:vAlign w:val="bottom"/>
          </w:tcPr>
          <w:p>
            <w:pPr>
              <w:spacing w:after="0"/>
              <w:rPr>
                <w:sz w:val="22"/>
                <w:szCs w:val="22"/>
                <w:color w:val="auto"/>
              </w:rPr>
            </w:pPr>
          </w:p>
        </w:tc>
        <w:tc>
          <w:tcPr>
            <w:tcW w:w="1180" w:type="dxa"/>
            <w:vAlign w:val="bottom"/>
            <w:gridSpan w:val="2"/>
          </w:tcPr>
          <w:p>
            <w:pPr>
              <w:jc w:val="right"/>
              <w:ind w:right="60"/>
              <w:spacing w:after="0"/>
              <w:rPr>
                <w:sz w:val="20"/>
                <w:szCs w:val="20"/>
                <w:color w:val="auto"/>
              </w:rPr>
            </w:pPr>
            <w:r>
              <w:rPr>
                <w:rFonts w:ascii="Arial" w:cs="Arial" w:eastAsia="Arial" w:hAnsi="Arial"/>
                <w:sz w:val="18"/>
                <w:szCs w:val="18"/>
                <w:color w:val="auto"/>
              </w:rPr>
              <w:t>20.2%</w:t>
            </w:r>
          </w:p>
        </w:tc>
        <w:tc>
          <w:tcPr>
            <w:tcW w:w="60" w:type="dxa"/>
            <w:vAlign w:val="bottom"/>
          </w:tcPr>
          <w:p>
            <w:pPr>
              <w:spacing w:after="0"/>
              <w:rPr>
                <w:sz w:val="22"/>
                <w:szCs w:val="22"/>
                <w:color w:val="auto"/>
              </w:rPr>
            </w:pPr>
          </w:p>
        </w:tc>
        <w:tc>
          <w:tcPr>
            <w:tcW w:w="260" w:type="dxa"/>
            <w:vAlign w:val="bottom"/>
          </w:tcPr>
          <w:p>
            <w:pPr>
              <w:spacing w:after="0"/>
              <w:rPr>
                <w:sz w:val="22"/>
                <w:szCs w:val="22"/>
                <w:color w:val="auto"/>
              </w:rPr>
            </w:pPr>
          </w:p>
        </w:tc>
        <w:tc>
          <w:tcPr>
            <w:tcW w:w="1140" w:type="dxa"/>
            <w:vAlign w:val="bottom"/>
            <w:gridSpan w:val="2"/>
          </w:tcPr>
          <w:p>
            <w:pPr>
              <w:jc w:val="right"/>
              <w:ind w:right="20"/>
              <w:spacing w:after="0"/>
              <w:rPr>
                <w:sz w:val="20"/>
                <w:szCs w:val="20"/>
                <w:color w:val="auto"/>
              </w:rPr>
            </w:pPr>
            <w:r>
              <w:rPr>
                <w:rFonts w:ascii="Arial" w:cs="Arial" w:eastAsia="Arial" w:hAnsi="Arial"/>
                <w:sz w:val="18"/>
                <w:szCs w:val="18"/>
                <w:color w:val="auto"/>
              </w:rPr>
              <w:t>19.2%</w:t>
            </w:r>
          </w:p>
        </w:tc>
        <w:tc>
          <w:tcPr>
            <w:tcW w:w="0" w:type="dxa"/>
            <w:vAlign w:val="bottom"/>
          </w:tcPr>
          <w:p>
            <w:pPr>
              <w:spacing w:after="0"/>
              <w:rPr>
                <w:sz w:val="1"/>
                <w:szCs w:val="1"/>
                <w:color w:val="auto"/>
              </w:rPr>
            </w:pPr>
          </w:p>
        </w:tc>
      </w:tr>
      <w:tr>
        <w:trPr>
          <w:trHeight w:val="216"/>
        </w:trPr>
        <w:tc>
          <w:tcPr>
            <w:tcW w:w="6740" w:type="dxa"/>
            <w:vAlign w:val="bottom"/>
            <w:shd w:val="clear" w:color="auto" w:fill="CCEEFF"/>
          </w:tcPr>
          <w:p>
            <w:pPr>
              <w:spacing w:after="0"/>
              <w:rPr>
                <w:sz w:val="20"/>
                <w:szCs w:val="20"/>
                <w:color w:val="auto"/>
              </w:rPr>
            </w:pPr>
            <w:r>
              <w:rPr>
                <w:rFonts w:ascii="Arial" w:cs="Arial" w:eastAsia="Arial" w:hAnsi="Arial"/>
                <w:sz w:val="18"/>
                <w:szCs w:val="18"/>
                <w:color w:val="auto"/>
              </w:rPr>
              <w:t>Total assets / Total equity (times)</w:t>
            </w:r>
          </w:p>
        </w:tc>
        <w:tc>
          <w:tcPr>
            <w:tcW w:w="12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6.1</w:t>
            </w:r>
          </w:p>
        </w:tc>
        <w:tc>
          <w:tcPr>
            <w:tcW w:w="24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6.1</w:t>
            </w:r>
          </w:p>
        </w:tc>
        <w:tc>
          <w:tcPr>
            <w:tcW w:w="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6.7</w:t>
            </w:r>
          </w:p>
        </w:tc>
        <w:tc>
          <w:tcPr>
            <w:tcW w:w="0" w:type="dxa"/>
            <w:vAlign w:val="bottom"/>
          </w:tcPr>
          <w:p>
            <w:pPr>
              <w:spacing w:after="0"/>
              <w:rPr>
                <w:sz w:val="1"/>
                <w:szCs w:val="1"/>
                <w:color w:val="auto"/>
              </w:rPr>
            </w:pPr>
          </w:p>
        </w:tc>
      </w:tr>
      <w:tr>
        <w:trPr>
          <w:trHeight w:val="257"/>
        </w:trPr>
        <w:tc>
          <w:tcPr>
            <w:tcW w:w="6740" w:type="dxa"/>
            <w:vAlign w:val="bottom"/>
          </w:tcPr>
          <w:p>
            <w:pPr>
              <w:spacing w:after="0" w:line="256" w:lineRule="exact"/>
              <w:rPr>
                <w:sz w:val="20"/>
                <w:szCs w:val="20"/>
                <w:color w:val="auto"/>
              </w:rPr>
            </w:pPr>
            <w:r>
              <w:rPr>
                <w:rFonts w:ascii="Arial" w:cs="Arial" w:eastAsia="Arial" w:hAnsi="Arial"/>
                <w:sz w:val="18"/>
                <w:szCs w:val="18"/>
                <w:color w:val="auto"/>
              </w:rPr>
              <w:t xml:space="preserve">Liquid Assets / Total Assets </w:t>
            </w:r>
            <w:r>
              <w:rPr>
                <w:rFonts w:ascii="Arial" w:cs="Arial" w:eastAsia="Arial" w:hAnsi="Arial"/>
                <w:sz w:val="29"/>
                <w:szCs w:val="29"/>
                <w:color w:val="auto"/>
                <w:vertAlign w:val="superscript"/>
              </w:rPr>
              <w:t>(11)</w:t>
            </w:r>
          </w:p>
        </w:tc>
        <w:tc>
          <w:tcPr>
            <w:tcW w:w="120" w:type="dxa"/>
            <w:vAlign w:val="bottom"/>
          </w:tcPr>
          <w:p>
            <w:pPr>
              <w:spacing w:after="0"/>
              <w:rPr>
                <w:sz w:val="22"/>
                <w:szCs w:val="22"/>
                <w:color w:val="auto"/>
              </w:rPr>
            </w:pPr>
          </w:p>
        </w:tc>
        <w:tc>
          <w:tcPr>
            <w:tcW w:w="240" w:type="dxa"/>
            <w:vAlign w:val="bottom"/>
          </w:tcPr>
          <w:p>
            <w:pPr>
              <w:spacing w:after="0"/>
              <w:rPr>
                <w:sz w:val="22"/>
                <w:szCs w:val="22"/>
                <w:color w:val="auto"/>
              </w:rPr>
            </w:pPr>
          </w:p>
        </w:tc>
        <w:tc>
          <w:tcPr>
            <w:tcW w:w="1260" w:type="dxa"/>
            <w:vAlign w:val="bottom"/>
            <w:gridSpan w:val="2"/>
          </w:tcPr>
          <w:p>
            <w:pPr>
              <w:jc w:val="right"/>
              <w:ind w:right="120"/>
              <w:spacing w:after="0"/>
              <w:rPr>
                <w:sz w:val="20"/>
                <w:szCs w:val="20"/>
                <w:color w:val="auto"/>
              </w:rPr>
            </w:pPr>
            <w:r>
              <w:rPr>
                <w:rFonts w:ascii="Arial" w:cs="Arial" w:eastAsia="Arial" w:hAnsi="Arial"/>
                <w:sz w:val="18"/>
                <w:szCs w:val="18"/>
                <w:color w:val="auto"/>
              </w:rPr>
              <w:t>15.6%</w:t>
            </w:r>
          </w:p>
        </w:tc>
        <w:tc>
          <w:tcPr>
            <w:tcW w:w="240" w:type="dxa"/>
            <w:vAlign w:val="bottom"/>
          </w:tcPr>
          <w:p>
            <w:pPr>
              <w:spacing w:after="0"/>
              <w:rPr>
                <w:sz w:val="22"/>
                <w:szCs w:val="22"/>
                <w:color w:val="auto"/>
              </w:rPr>
            </w:pPr>
          </w:p>
        </w:tc>
        <w:tc>
          <w:tcPr>
            <w:tcW w:w="1180" w:type="dxa"/>
            <w:vAlign w:val="bottom"/>
            <w:gridSpan w:val="2"/>
          </w:tcPr>
          <w:p>
            <w:pPr>
              <w:jc w:val="right"/>
              <w:ind w:right="60"/>
              <w:spacing w:after="0"/>
              <w:rPr>
                <w:sz w:val="20"/>
                <w:szCs w:val="20"/>
                <w:color w:val="auto"/>
              </w:rPr>
            </w:pPr>
            <w:r>
              <w:rPr>
                <w:rFonts w:ascii="Arial" w:cs="Arial" w:eastAsia="Arial" w:hAnsi="Arial"/>
                <w:sz w:val="18"/>
                <w:szCs w:val="18"/>
                <w:color w:val="auto"/>
              </w:rPr>
              <w:t>16.7%</w:t>
            </w:r>
          </w:p>
        </w:tc>
        <w:tc>
          <w:tcPr>
            <w:tcW w:w="60" w:type="dxa"/>
            <w:vAlign w:val="bottom"/>
          </w:tcPr>
          <w:p>
            <w:pPr>
              <w:spacing w:after="0"/>
              <w:rPr>
                <w:sz w:val="22"/>
                <w:szCs w:val="22"/>
                <w:color w:val="auto"/>
              </w:rPr>
            </w:pPr>
          </w:p>
        </w:tc>
        <w:tc>
          <w:tcPr>
            <w:tcW w:w="260" w:type="dxa"/>
            <w:vAlign w:val="bottom"/>
          </w:tcPr>
          <w:p>
            <w:pPr>
              <w:spacing w:after="0"/>
              <w:rPr>
                <w:sz w:val="22"/>
                <w:szCs w:val="22"/>
                <w:color w:val="auto"/>
              </w:rPr>
            </w:pPr>
          </w:p>
        </w:tc>
        <w:tc>
          <w:tcPr>
            <w:tcW w:w="1140" w:type="dxa"/>
            <w:vAlign w:val="bottom"/>
            <w:gridSpan w:val="2"/>
          </w:tcPr>
          <w:p>
            <w:pPr>
              <w:jc w:val="right"/>
              <w:ind w:right="20"/>
              <w:spacing w:after="0"/>
              <w:rPr>
                <w:sz w:val="20"/>
                <w:szCs w:val="20"/>
                <w:color w:val="auto"/>
              </w:rPr>
            </w:pPr>
            <w:r>
              <w:rPr>
                <w:rFonts w:ascii="Arial" w:cs="Arial" w:eastAsia="Arial" w:hAnsi="Arial"/>
                <w:sz w:val="18"/>
                <w:szCs w:val="18"/>
                <w:color w:val="auto"/>
              </w:rPr>
              <w:t>19.0%</w:t>
            </w:r>
          </w:p>
        </w:tc>
        <w:tc>
          <w:tcPr>
            <w:tcW w:w="0" w:type="dxa"/>
            <w:vAlign w:val="bottom"/>
          </w:tcPr>
          <w:p>
            <w:pPr>
              <w:spacing w:after="0"/>
              <w:rPr>
                <w:sz w:val="1"/>
                <w:szCs w:val="1"/>
                <w:color w:val="auto"/>
              </w:rPr>
            </w:pPr>
          </w:p>
        </w:tc>
      </w:tr>
      <w:tr>
        <w:trPr>
          <w:trHeight w:val="256"/>
        </w:trPr>
        <w:tc>
          <w:tcPr>
            <w:tcW w:w="674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Credit-impaired loans to Loan Portfolio </w:t>
            </w:r>
            <w:r>
              <w:rPr>
                <w:rFonts w:ascii="Arial" w:cs="Arial" w:eastAsia="Arial" w:hAnsi="Arial"/>
                <w:sz w:val="29"/>
                <w:szCs w:val="29"/>
                <w:color w:val="auto"/>
                <w:vertAlign w:val="superscript"/>
              </w:rPr>
              <w:t>(12)</w:t>
            </w:r>
          </w:p>
        </w:tc>
        <w:tc>
          <w:tcPr>
            <w:tcW w:w="120" w:type="dxa"/>
            <w:vAlign w:val="bottom"/>
            <w:shd w:val="clear" w:color="auto" w:fill="CCEEFF"/>
          </w:tcPr>
          <w:p>
            <w:pPr>
              <w:spacing w:after="0"/>
              <w:rPr>
                <w:sz w:val="22"/>
                <w:szCs w:val="22"/>
                <w:color w:val="auto"/>
              </w:rPr>
            </w:pPr>
          </w:p>
        </w:tc>
        <w:tc>
          <w:tcPr>
            <w:tcW w:w="240" w:type="dxa"/>
            <w:vAlign w:val="bottom"/>
            <w:shd w:val="clear" w:color="auto" w:fill="CCEEFF"/>
          </w:tcPr>
          <w:p>
            <w:pPr>
              <w:spacing w:after="0"/>
              <w:rPr>
                <w:sz w:val="22"/>
                <w:szCs w:val="22"/>
                <w:color w:val="auto"/>
              </w:rPr>
            </w:pP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0.21%</w:t>
            </w:r>
          </w:p>
        </w:tc>
        <w:tc>
          <w:tcPr>
            <w:tcW w:w="240" w:type="dxa"/>
            <w:vAlign w:val="bottom"/>
            <w:shd w:val="clear" w:color="auto" w:fill="CCEEFF"/>
          </w:tcPr>
          <w:p>
            <w:pPr>
              <w:spacing w:after="0"/>
              <w:rPr>
                <w:sz w:val="22"/>
                <w:szCs w:val="22"/>
                <w:color w:val="auto"/>
              </w:rPr>
            </w:pPr>
          </w:p>
        </w:tc>
        <w:tc>
          <w:tcPr>
            <w:tcW w:w="11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0.22%</w:t>
            </w:r>
          </w:p>
        </w:tc>
        <w:tc>
          <w:tcPr>
            <w:tcW w:w="60" w:type="dxa"/>
            <w:vAlign w:val="bottom"/>
            <w:shd w:val="clear" w:color="auto" w:fill="CCEEFF"/>
          </w:tcPr>
          <w:p>
            <w:pPr>
              <w:spacing w:after="0"/>
              <w:rPr>
                <w:sz w:val="22"/>
                <w:szCs w:val="22"/>
                <w:color w:val="auto"/>
              </w:rPr>
            </w:pPr>
          </w:p>
        </w:tc>
        <w:tc>
          <w:tcPr>
            <w:tcW w:w="260" w:type="dxa"/>
            <w:vAlign w:val="bottom"/>
            <w:shd w:val="clear" w:color="auto" w:fill="CCEEFF"/>
          </w:tcPr>
          <w:p>
            <w:pPr>
              <w:spacing w:after="0"/>
              <w:rPr>
                <w:sz w:val="22"/>
                <w:szCs w:val="22"/>
                <w:color w:val="auto"/>
              </w:rPr>
            </w:pPr>
          </w:p>
        </w:tc>
        <w:tc>
          <w:tcPr>
            <w:tcW w:w="11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1.16%</w:t>
            </w:r>
          </w:p>
        </w:tc>
        <w:tc>
          <w:tcPr>
            <w:tcW w:w="0" w:type="dxa"/>
            <w:vAlign w:val="bottom"/>
          </w:tcPr>
          <w:p>
            <w:pPr>
              <w:spacing w:after="0"/>
              <w:rPr>
                <w:sz w:val="1"/>
                <w:szCs w:val="1"/>
                <w:color w:val="auto"/>
              </w:rPr>
            </w:pPr>
          </w:p>
        </w:tc>
      </w:tr>
      <w:tr>
        <w:trPr>
          <w:trHeight w:val="256"/>
        </w:trPr>
        <w:tc>
          <w:tcPr>
            <w:tcW w:w="6740" w:type="dxa"/>
            <w:vAlign w:val="bottom"/>
          </w:tcPr>
          <w:p>
            <w:pPr>
              <w:spacing w:after="0" w:line="256" w:lineRule="exact"/>
              <w:rPr>
                <w:sz w:val="20"/>
                <w:szCs w:val="20"/>
                <w:color w:val="auto"/>
              </w:rPr>
            </w:pPr>
            <w:r>
              <w:rPr>
                <w:rFonts w:ascii="Arial" w:cs="Arial" w:eastAsia="Arial" w:hAnsi="Arial"/>
                <w:sz w:val="18"/>
                <w:szCs w:val="18"/>
                <w:color w:val="auto"/>
              </w:rPr>
              <w:t xml:space="preserve">Total allowance for losses to Credit Portfolio </w:t>
            </w:r>
            <w:r>
              <w:rPr>
                <w:rFonts w:ascii="Arial" w:cs="Arial" w:eastAsia="Arial" w:hAnsi="Arial"/>
                <w:sz w:val="29"/>
                <w:szCs w:val="29"/>
                <w:color w:val="auto"/>
                <w:vertAlign w:val="superscript"/>
              </w:rPr>
              <w:t>(13)</w:t>
            </w:r>
          </w:p>
        </w:tc>
        <w:tc>
          <w:tcPr>
            <w:tcW w:w="120" w:type="dxa"/>
            <w:vAlign w:val="bottom"/>
          </w:tcPr>
          <w:p>
            <w:pPr>
              <w:spacing w:after="0"/>
              <w:rPr>
                <w:sz w:val="22"/>
                <w:szCs w:val="22"/>
                <w:color w:val="auto"/>
              </w:rPr>
            </w:pPr>
          </w:p>
        </w:tc>
        <w:tc>
          <w:tcPr>
            <w:tcW w:w="240" w:type="dxa"/>
            <w:vAlign w:val="bottom"/>
          </w:tcPr>
          <w:p>
            <w:pPr>
              <w:spacing w:after="0"/>
              <w:rPr>
                <w:sz w:val="22"/>
                <w:szCs w:val="22"/>
                <w:color w:val="auto"/>
              </w:rPr>
            </w:pPr>
          </w:p>
        </w:tc>
        <w:tc>
          <w:tcPr>
            <w:tcW w:w="1260" w:type="dxa"/>
            <w:vAlign w:val="bottom"/>
            <w:gridSpan w:val="2"/>
          </w:tcPr>
          <w:p>
            <w:pPr>
              <w:jc w:val="right"/>
              <w:ind w:right="120"/>
              <w:spacing w:after="0"/>
              <w:rPr>
                <w:sz w:val="20"/>
                <w:szCs w:val="20"/>
                <w:color w:val="auto"/>
              </w:rPr>
            </w:pPr>
            <w:r>
              <w:rPr>
                <w:rFonts w:ascii="Arial" w:cs="Arial" w:eastAsia="Arial" w:hAnsi="Arial"/>
                <w:sz w:val="18"/>
                <w:szCs w:val="18"/>
                <w:color w:val="auto"/>
              </w:rPr>
              <w:t>0.73%</w:t>
            </w:r>
          </w:p>
        </w:tc>
        <w:tc>
          <w:tcPr>
            <w:tcW w:w="240" w:type="dxa"/>
            <w:vAlign w:val="bottom"/>
          </w:tcPr>
          <w:p>
            <w:pPr>
              <w:spacing w:after="0"/>
              <w:rPr>
                <w:sz w:val="22"/>
                <w:szCs w:val="22"/>
                <w:color w:val="auto"/>
              </w:rPr>
            </w:pPr>
          </w:p>
        </w:tc>
        <w:tc>
          <w:tcPr>
            <w:tcW w:w="1180" w:type="dxa"/>
            <w:vAlign w:val="bottom"/>
            <w:gridSpan w:val="2"/>
          </w:tcPr>
          <w:p>
            <w:pPr>
              <w:jc w:val="right"/>
              <w:ind w:right="60"/>
              <w:spacing w:after="0"/>
              <w:rPr>
                <w:sz w:val="20"/>
                <w:szCs w:val="20"/>
                <w:color w:val="auto"/>
              </w:rPr>
            </w:pPr>
            <w:r>
              <w:rPr>
                <w:rFonts w:ascii="Arial" w:cs="Arial" w:eastAsia="Arial" w:hAnsi="Arial"/>
                <w:sz w:val="18"/>
                <w:szCs w:val="18"/>
                <w:color w:val="auto"/>
              </w:rPr>
              <w:t>0.75%</w:t>
            </w:r>
          </w:p>
        </w:tc>
        <w:tc>
          <w:tcPr>
            <w:tcW w:w="60" w:type="dxa"/>
            <w:vAlign w:val="bottom"/>
          </w:tcPr>
          <w:p>
            <w:pPr>
              <w:spacing w:after="0"/>
              <w:rPr>
                <w:sz w:val="22"/>
                <w:szCs w:val="22"/>
                <w:color w:val="auto"/>
              </w:rPr>
            </w:pPr>
          </w:p>
        </w:tc>
        <w:tc>
          <w:tcPr>
            <w:tcW w:w="260" w:type="dxa"/>
            <w:vAlign w:val="bottom"/>
          </w:tcPr>
          <w:p>
            <w:pPr>
              <w:spacing w:after="0"/>
              <w:rPr>
                <w:sz w:val="22"/>
                <w:szCs w:val="22"/>
                <w:color w:val="auto"/>
              </w:rPr>
            </w:pPr>
          </w:p>
        </w:tc>
        <w:tc>
          <w:tcPr>
            <w:tcW w:w="1140" w:type="dxa"/>
            <w:vAlign w:val="bottom"/>
            <w:gridSpan w:val="2"/>
          </w:tcPr>
          <w:p>
            <w:pPr>
              <w:jc w:val="right"/>
              <w:ind w:right="20"/>
              <w:spacing w:after="0"/>
              <w:rPr>
                <w:sz w:val="20"/>
                <w:szCs w:val="20"/>
                <w:color w:val="auto"/>
              </w:rPr>
            </w:pPr>
            <w:r>
              <w:rPr>
                <w:rFonts w:ascii="Arial" w:cs="Arial" w:eastAsia="Arial" w:hAnsi="Arial"/>
                <w:sz w:val="18"/>
                <w:szCs w:val="18"/>
                <w:color w:val="auto"/>
              </w:rPr>
              <w:t>1.73%</w:t>
            </w:r>
          </w:p>
        </w:tc>
        <w:tc>
          <w:tcPr>
            <w:tcW w:w="0" w:type="dxa"/>
            <w:vAlign w:val="bottom"/>
          </w:tcPr>
          <w:p>
            <w:pPr>
              <w:spacing w:after="0"/>
              <w:rPr>
                <w:sz w:val="1"/>
                <w:szCs w:val="1"/>
                <w:color w:val="auto"/>
              </w:rPr>
            </w:pPr>
          </w:p>
        </w:tc>
      </w:tr>
      <w:tr>
        <w:trPr>
          <w:trHeight w:val="270"/>
        </w:trPr>
        <w:tc>
          <w:tcPr>
            <w:tcW w:w="6740" w:type="dxa"/>
            <w:vAlign w:val="bottom"/>
            <w:shd w:val="clear" w:color="auto" w:fill="CCEEFF"/>
          </w:tcPr>
          <w:p>
            <w:pPr>
              <w:spacing w:after="0" w:line="270" w:lineRule="exact"/>
              <w:rPr>
                <w:sz w:val="20"/>
                <w:szCs w:val="20"/>
                <w:color w:val="auto"/>
              </w:rPr>
            </w:pPr>
            <w:r>
              <w:rPr>
                <w:rFonts w:ascii="Arial" w:cs="Arial" w:eastAsia="Arial" w:hAnsi="Arial"/>
                <w:sz w:val="18"/>
                <w:szCs w:val="18"/>
                <w:color w:val="auto"/>
              </w:rPr>
              <w:t xml:space="preserve">Total allowance for losses to credit-impaired loans (times) </w:t>
            </w:r>
            <w:r>
              <w:rPr>
                <w:rFonts w:ascii="Arial" w:cs="Arial" w:eastAsia="Arial" w:hAnsi="Arial"/>
                <w:sz w:val="29"/>
                <w:szCs w:val="29"/>
                <w:color w:val="auto"/>
                <w:vertAlign w:val="superscript"/>
              </w:rPr>
              <w:t>(13)</w:t>
            </w:r>
          </w:p>
        </w:tc>
        <w:tc>
          <w:tcPr>
            <w:tcW w:w="120" w:type="dxa"/>
            <w:vAlign w:val="bottom"/>
            <w:shd w:val="clear" w:color="auto" w:fill="CCEEFF"/>
          </w:tcPr>
          <w:p>
            <w:pPr>
              <w:spacing w:after="0"/>
              <w:rPr>
                <w:sz w:val="23"/>
                <w:szCs w:val="23"/>
                <w:color w:val="auto"/>
              </w:rPr>
            </w:pPr>
          </w:p>
        </w:tc>
        <w:tc>
          <w:tcPr>
            <w:tcW w:w="240" w:type="dxa"/>
            <w:vAlign w:val="bottom"/>
            <w:shd w:val="clear" w:color="auto" w:fill="CCEEFF"/>
          </w:tcPr>
          <w:p>
            <w:pPr>
              <w:spacing w:after="0"/>
              <w:rPr>
                <w:sz w:val="23"/>
                <w:szCs w:val="23"/>
                <w:color w:val="auto"/>
              </w:rPr>
            </w:pPr>
          </w:p>
        </w:tc>
        <w:tc>
          <w:tcPr>
            <w:tcW w:w="126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4.2</w:t>
            </w:r>
          </w:p>
        </w:tc>
        <w:tc>
          <w:tcPr>
            <w:tcW w:w="240" w:type="dxa"/>
            <w:vAlign w:val="bottom"/>
            <w:shd w:val="clear" w:color="auto" w:fill="CCEEFF"/>
          </w:tcPr>
          <w:p>
            <w:pPr>
              <w:spacing w:after="0"/>
              <w:rPr>
                <w:sz w:val="23"/>
                <w:szCs w:val="23"/>
                <w:color w:val="auto"/>
              </w:rPr>
            </w:pPr>
          </w:p>
        </w:tc>
        <w:tc>
          <w:tcPr>
            <w:tcW w:w="11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4.2</w:t>
            </w:r>
          </w:p>
        </w:tc>
        <w:tc>
          <w:tcPr>
            <w:tcW w:w="60" w:type="dxa"/>
            <w:vAlign w:val="bottom"/>
            <w:shd w:val="clear" w:color="auto" w:fill="CCEEFF"/>
          </w:tcPr>
          <w:p>
            <w:pPr>
              <w:spacing w:after="0"/>
              <w:rPr>
                <w:sz w:val="23"/>
                <w:szCs w:val="23"/>
                <w:color w:val="auto"/>
              </w:rPr>
            </w:pPr>
          </w:p>
        </w:tc>
        <w:tc>
          <w:tcPr>
            <w:tcW w:w="260" w:type="dxa"/>
            <w:vAlign w:val="bottom"/>
            <w:shd w:val="clear" w:color="auto" w:fill="CCEEFF"/>
          </w:tcPr>
          <w:p>
            <w:pPr>
              <w:spacing w:after="0"/>
              <w:rPr>
                <w:sz w:val="23"/>
                <w:szCs w:val="23"/>
                <w:color w:val="auto"/>
              </w:rPr>
            </w:pPr>
          </w:p>
        </w:tc>
        <w:tc>
          <w:tcPr>
            <w:tcW w:w="11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1.7</w:t>
            </w:r>
          </w:p>
        </w:tc>
        <w:tc>
          <w:tcPr>
            <w:tcW w:w="0" w:type="dxa"/>
            <w:vAlign w:val="bottom"/>
          </w:tcPr>
          <w:p>
            <w:pPr>
              <w:spacing w:after="0"/>
              <w:rPr>
                <w:sz w:val="1"/>
                <w:szCs w:val="1"/>
                <w:color w:val="auto"/>
              </w:rPr>
            </w:pPr>
          </w:p>
        </w:tc>
      </w:tr>
    </w:tbl>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BUSINESS HIGHLIGHTS</w:t>
      </w:r>
    </w:p>
    <w:p>
      <w:pPr>
        <w:spacing w:after="0" w:line="256" w:lineRule="exact"/>
        <w:rPr>
          <w:sz w:val="20"/>
          <w:szCs w:val="20"/>
          <w:color w:val="auto"/>
        </w:rPr>
      </w:pPr>
    </w:p>
    <w:p>
      <w:pPr>
        <w:ind w:left="340" w:hanging="332"/>
        <w:spacing w:after="0" w:line="277" w:lineRule="auto"/>
        <w:tabs>
          <w:tab w:leader="none" w:pos="340" w:val="left"/>
        </w:tabs>
        <w:numPr>
          <w:ilvl w:val="0"/>
          <w:numId w:val="1"/>
        </w:numPr>
        <w:rPr>
          <w:rFonts w:ascii="Arial" w:cs="Arial" w:eastAsia="Arial" w:hAnsi="Arial"/>
          <w:sz w:val="18"/>
          <w:szCs w:val="18"/>
          <w:color w:val="auto"/>
        </w:rPr>
      </w:pPr>
      <w:r>
        <w:rPr>
          <w:rFonts w:ascii="Arial" w:cs="Arial" w:eastAsia="Arial" w:hAnsi="Arial"/>
          <w:sz w:val="18"/>
          <w:szCs w:val="18"/>
          <w:color w:val="auto"/>
        </w:rPr>
        <w:t>Sequential quarterly Commercial Portfolio growth continues the trend that started last year, up 3% QoQ to reach $5.7 billion, driven by higher loan origination (+5% QoQ), with a continued focus on defensive sectors and stricter credit underwriting standards.</w:t>
      </w:r>
    </w:p>
    <w:p>
      <w:pPr>
        <w:spacing w:after="0" w:line="170" w:lineRule="exact"/>
        <w:rPr>
          <w:rFonts w:ascii="Arial" w:cs="Arial" w:eastAsia="Arial" w:hAnsi="Arial"/>
          <w:sz w:val="18"/>
          <w:szCs w:val="18"/>
          <w:color w:val="auto"/>
        </w:rPr>
      </w:pPr>
    </w:p>
    <w:p>
      <w:pPr>
        <w:ind w:left="340" w:hanging="332"/>
        <w:spacing w:after="0" w:line="277" w:lineRule="auto"/>
        <w:tabs>
          <w:tab w:leader="none" w:pos="340" w:val="left"/>
        </w:tabs>
        <w:numPr>
          <w:ilvl w:val="0"/>
          <w:numId w:val="1"/>
        </w:numPr>
        <w:rPr>
          <w:rFonts w:ascii="Arial" w:cs="Arial" w:eastAsia="Arial" w:hAnsi="Arial"/>
          <w:sz w:val="18"/>
          <w:szCs w:val="18"/>
          <w:color w:val="auto"/>
        </w:rPr>
      </w:pPr>
      <w:r>
        <w:rPr>
          <w:rFonts w:ascii="Arial" w:cs="Arial" w:eastAsia="Arial" w:hAnsi="Arial"/>
          <w:sz w:val="18"/>
          <w:szCs w:val="18"/>
          <w:color w:val="auto"/>
        </w:rPr>
        <w:t>During 1Q21, Bladex continues to collect virtually all loan maturities (close to 100% since the onset of Covid-19), evidencing the high quality of the Bank’s borrower base and short-term nature of its business.</w:t>
      </w:r>
    </w:p>
    <w:p>
      <w:pPr>
        <w:spacing w:after="0" w:line="170" w:lineRule="exact"/>
        <w:rPr>
          <w:rFonts w:ascii="Arial" w:cs="Arial" w:eastAsia="Arial" w:hAnsi="Arial"/>
          <w:sz w:val="18"/>
          <w:szCs w:val="18"/>
          <w:color w:val="auto"/>
        </w:rPr>
      </w:pPr>
    </w:p>
    <w:p>
      <w:pPr>
        <w:jc w:val="both"/>
        <w:ind w:left="340" w:hanging="332"/>
        <w:spacing w:after="0" w:line="259" w:lineRule="auto"/>
        <w:tabs>
          <w:tab w:leader="none" w:pos="340" w:val="left"/>
        </w:tabs>
        <w:numPr>
          <w:ilvl w:val="0"/>
          <w:numId w:val="1"/>
        </w:numPr>
        <w:rPr>
          <w:rFonts w:ascii="Arial" w:cs="Arial" w:eastAsia="Arial" w:hAnsi="Arial"/>
          <w:sz w:val="18"/>
          <w:szCs w:val="18"/>
          <w:color w:val="auto"/>
        </w:rPr>
      </w:pPr>
      <w:r>
        <w:rPr>
          <w:rFonts w:ascii="Arial" w:cs="Arial" w:eastAsia="Arial" w:hAnsi="Arial"/>
          <w:sz w:val="18"/>
          <w:szCs w:val="18"/>
          <w:color w:val="auto"/>
        </w:rPr>
        <w:t>As of March 31, 2021, Bladex’s credit quality remains sound, with a well-diversified exposure across countries, having 57% of the Commercial Portfolio in investment grade countries, 53% with financial institutions and 18% with sovereign and state-owned corporations. As well, Bladex continues with the downsize of exposures to higher risk sectors since the onset of Covid-19, such as sugar (-46%) and airlines (-67%), now representing 1% and 0.8% of the total portfolio, respectively.</w:t>
      </w:r>
    </w:p>
    <w:p>
      <w:pPr>
        <w:spacing w:after="0" w:line="186" w:lineRule="exact"/>
        <w:rPr>
          <w:rFonts w:ascii="Arial" w:cs="Arial" w:eastAsia="Arial" w:hAnsi="Arial"/>
          <w:sz w:val="18"/>
          <w:szCs w:val="18"/>
          <w:color w:val="auto"/>
        </w:rPr>
      </w:pPr>
    </w:p>
    <w:p>
      <w:pPr>
        <w:ind w:left="340" w:hanging="332"/>
        <w:spacing w:after="0"/>
        <w:tabs>
          <w:tab w:leader="none" w:pos="340" w:val="left"/>
        </w:tabs>
        <w:numPr>
          <w:ilvl w:val="0"/>
          <w:numId w:val="1"/>
        </w:numPr>
        <w:rPr>
          <w:rFonts w:ascii="Arial" w:cs="Arial" w:eastAsia="Arial" w:hAnsi="Arial"/>
          <w:sz w:val="16"/>
          <w:szCs w:val="16"/>
          <w:color w:val="auto"/>
        </w:rPr>
      </w:pPr>
      <w:r>
        <w:rPr>
          <w:rFonts w:ascii="Arial" w:cs="Arial" w:eastAsia="Arial" w:hAnsi="Arial"/>
          <w:sz w:val="16"/>
          <w:szCs w:val="16"/>
          <w:color w:val="auto"/>
        </w:rPr>
        <w:t>As of March 31, 2021, credit-impaired loans (“NPLs”) totaled $11 million, unchanged from the previous quarter, representing 0.2% of the total Loan</w:t>
      </w:r>
    </w:p>
    <w:p>
      <w:pPr>
        <w:sectPr>
          <w:pgSz w:w="11900" w:h="16838" w:orient="portrait"/>
          <w:cols w:equalWidth="0" w:num="1">
            <w:col w:w="11240"/>
          </w:cols>
          <w:pgMar w:left="320" w:top="1440" w:right="339" w:bottom="0" w:gutter="0" w:footer="0" w:header="0"/>
        </w:sectPr>
      </w:pPr>
    </w:p>
    <w:bookmarkStart w:id="3" w:name="page4"/>
    <w:bookmarkEnd w:id="3"/>
    <w:p>
      <w:pPr>
        <w:ind w:left="332"/>
        <w:spacing w:after="0"/>
        <w:rPr>
          <w:sz w:val="20"/>
          <w:szCs w:val="20"/>
          <w:color w:val="auto"/>
        </w:rPr>
      </w:pPr>
      <w:r>
        <w:rPr>
          <w:rFonts w:ascii="Arial" w:cs="Arial" w:eastAsia="Arial" w:hAnsi="Arial"/>
          <w:sz w:val="18"/>
          <w:szCs w:val="18"/>
          <w:color w:val="auto"/>
        </w:rPr>
        <w:t>Portfolio. Total allowance for expected credit losses remained stable with no credit provision charges during the quarter.</w:t>
      </w:r>
    </w:p>
    <w:p>
      <w:pPr>
        <w:spacing w:after="0" w:line="225" w:lineRule="exact"/>
        <w:rPr>
          <w:sz w:val="20"/>
          <w:szCs w:val="20"/>
          <w:color w:val="auto"/>
        </w:rPr>
      </w:pPr>
    </w:p>
    <w:p>
      <w:pPr>
        <w:ind w:left="332" w:hanging="332"/>
        <w:spacing w:after="0" w:line="277" w:lineRule="auto"/>
        <w:tabs>
          <w:tab w:leader="none" w:pos="332" w:val="left"/>
        </w:tabs>
        <w:numPr>
          <w:ilvl w:val="0"/>
          <w:numId w:val="2"/>
        </w:numPr>
        <w:rPr>
          <w:rFonts w:ascii="Arial" w:cs="Arial" w:eastAsia="Arial" w:hAnsi="Arial"/>
          <w:sz w:val="18"/>
          <w:szCs w:val="18"/>
          <w:color w:val="auto"/>
        </w:rPr>
      </w:pPr>
      <w:r>
        <w:rPr>
          <w:rFonts w:ascii="Arial" w:cs="Arial" w:eastAsia="Arial" w:hAnsi="Arial"/>
          <w:sz w:val="18"/>
          <w:szCs w:val="18"/>
          <w:color w:val="auto"/>
        </w:rPr>
        <w:t>Bladex maintained a sound and diversified funding structure in 1Q21, supported by the continued growth of its deposit base (+1 QoQ; +29% YoY). In turn, the Bank’s liquidity position remained stable QoQ at $992 million (16% of Total Assets) as of March 31, 2021.</w:t>
      </w:r>
    </w:p>
    <w:p>
      <w:pPr>
        <w:spacing w:after="0" w:line="170" w:lineRule="exact"/>
        <w:rPr>
          <w:rFonts w:ascii="Arial" w:cs="Arial" w:eastAsia="Arial" w:hAnsi="Arial"/>
          <w:sz w:val="18"/>
          <w:szCs w:val="18"/>
          <w:color w:val="auto"/>
        </w:rPr>
      </w:pPr>
    </w:p>
    <w:p>
      <w:pPr>
        <w:jc w:val="both"/>
        <w:ind w:left="332" w:hanging="332"/>
        <w:spacing w:after="0" w:line="259" w:lineRule="auto"/>
        <w:tabs>
          <w:tab w:leader="none" w:pos="332" w:val="left"/>
        </w:tabs>
        <w:numPr>
          <w:ilvl w:val="0"/>
          <w:numId w:val="2"/>
        </w:numPr>
        <w:rPr>
          <w:rFonts w:ascii="Arial" w:cs="Arial" w:eastAsia="Arial" w:hAnsi="Arial"/>
          <w:sz w:val="18"/>
          <w:szCs w:val="18"/>
          <w:color w:val="auto"/>
        </w:rPr>
      </w:pPr>
      <w:r>
        <w:rPr>
          <w:rFonts w:ascii="Arial" w:cs="Arial" w:eastAsia="Arial" w:hAnsi="Arial"/>
          <w:sz w:val="18"/>
          <w:szCs w:val="18"/>
          <w:color w:val="auto"/>
        </w:rPr>
        <w:t>Bladex’s Profit for 1Q21 was $12.8 million (-19% QoQ, -30% YoY), mostly due to lower Net Interest Income (NII). The 15% QoQ decrease in NII was mainly driven by lower net lending spreads, returning to pre-Covid levels at 150 bps, partially offset by Credit Portfolio growth and lower liquidity levels. The 27% YoY decrease in NII was mainly impacted by lower Libor-based rates and average lending volumes, still below pre-Covid balances.</w:t>
      </w:r>
    </w:p>
    <w:p>
      <w:pPr>
        <w:spacing w:after="0" w:line="186" w:lineRule="exact"/>
        <w:rPr>
          <w:rFonts w:ascii="Arial" w:cs="Arial" w:eastAsia="Arial" w:hAnsi="Arial"/>
          <w:sz w:val="18"/>
          <w:szCs w:val="18"/>
          <w:color w:val="auto"/>
        </w:rPr>
      </w:pPr>
    </w:p>
    <w:p>
      <w:pPr>
        <w:jc w:val="both"/>
        <w:ind w:left="332" w:hanging="332"/>
        <w:spacing w:after="0" w:line="259" w:lineRule="auto"/>
        <w:tabs>
          <w:tab w:leader="none" w:pos="332" w:val="left"/>
        </w:tabs>
        <w:numPr>
          <w:ilvl w:val="0"/>
          <w:numId w:val="2"/>
        </w:numPr>
        <w:rPr>
          <w:rFonts w:ascii="Arial" w:cs="Arial" w:eastAsia="Arial" w:hAnsi="Arial"/>
          <w:sz w:val="18"/>
          <w:szCs w:val="18"/>
          <w:color w:val="auto"/>
        </w:rPr>
      </w:pPr>
      <w:r>
        <w:rPr>
          <w:rFonts w:ascii="Arial" w:cs="Arial" w:eastAsia="Arial" w:hAnsi="Arial"/>
          <w:sz w:val="18"/>
          <w:szCs w:val="18"/>
          <w:color w:val="auto"/>
        </w:rPr>
        <w:t>Fees and commissions income totaled $3.0 million for 1Q21, relatively stable on absolute terms, on steady fees from the Bank’s letters of credit business. Fees from loan syndication business have been impacted since the onset of the Covid-19 pandemic, but this transaction-based business is starting to pick up, as evidenced by the recent execution of a $300 million loan transaction in April of 2021, where Bladex acted as Joint Lead Arranger.</w:t>
      </w:r>
    </w:p>
    <w:p>
      <w:pPr>
        <w:spacing w:after="0" w:line="186" w:lineRule="exact"/>
        <w:rPr>
          <w:rFonts w:ascii="Arial" w:cs="Arial" w:eastAsia="Arial" w:hAnsi="Arial"/>
          <w:sz w:val="18"/>
          <w:szCs w:val="18"/>
          <w:color w:val="auto"/>
        </w:rPr>
      </w:pPr>
    </w:p>
    <w:p>
      <w:pPr>
        <w:jc w:val="both"/>
        <w:ind w:left="332" w:hanging="332"/>
        <w:spacing w:after="0" w:line="263" w:lineRule="auto"/>
        <w:tabs>
          <w:tab w:leader="none" w:pos="332" w:val="left"/>
        </w:tabs>
        <w:numPr>
          <w:ilvl w:val="0"/>
          <w:numId w:val="2"/>
        </w:numPr>
        <w:rPr>
          <w:rFonts w:ascii="Arial" w:cs="Arial" w:eastAsia="Arial" w:hAnsi="Arial"/>
          <w:sz w:val="18"/>
          <w:szCs w:val="18"/>
          <w:color w:val="auto"/>
        </w:rPr>
      </w:pPr>
      <w:r>
        <w:rPr>
          <w:rFonts w:ascii="Arial" w:cs="Arial" w:eastAsia="Arial" w:hAnsi="Arial"/>
          <w:sz w:val="18"/>
          <w:szCs w:val="18"/>
          <w:color w:val="auto"/>
        </w:rPr>
        <w:t>Expenses remain closely controlled, down 10% on a sequential quarter basis due to the usual seasonally lower levels of the first quarter of the year. Year-on-year, expenses were down by 13%, mainly on lower personnel expenses related to decreased performance-based variable compensation provision. Efficiency Ratio stood at 41.6%, on lower income generation.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280035</wp:posOffset>
            </wp:positionV>
            <wp:extent cx="7132320" cy="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32"/>
          </w:cols>
          <w:pgMar w:left="328" w:top="125" w:right="339" w:bottom="1440" w:gutter="0" w:footer="0" w:header="0"/>
        </w:sectPr>
      </w:pPr>
    </w:p>
    <w:bookmarkStart w:id="4" w:name="page5"/>
    <w:bookmarkEnd w:id="4"/>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CEO’s Comments</w:t>
      </w:r>
    </w:p>
    <w:p>
      <w:pPr>
        <w:spacing w:after="0" w:line="256" w:lineRule="exact"/>
        <w:rPr>
          <w:sz w:val="20"/>
          <w:szCs w:val="20"/>
          <w:color w:val="auto"/>
        </w:rPr>
      </w:pPr>
    </w:p>
    <w:p>
      <w:pPr>
        <w:jc w:val="both"/>
        <w:ind w:right="80"/>
        <w:spacing w:after="0" w:line="254" w:lineRule="auto"/>
        <w:rPr>
          <w:sz w:val="20"/>
          <w:szCs w:val="20"/>
          <w:color w:val="auto"/>
        </w:rPr>
      </w:pPr>
      <w:r>
        <w:rPr>
          <w:rFonts w:ascii="Arial" w:cs="Arial" w:eastAsia="Arial" w:hAnsi="Arial"/>
          <w:sz w:val="18"/>
          <w:szCs w:val="18"/>
          <w:color w:val="auto"/>
        </w:rPr>
        <w:t>Mr. Jorge Salas, Bladex’s Chief Executive Officer said: “We entered 2021 with a sound credit portfolio with almost zero NPLs, a robust funding structure and a comfortable liquidity position. This is our third consecutive quarter of growth without relaxing credit underwriting standards. The level of our Commercial Portfolio as of March 2021 was close to that of a year ago, but still more than $800 million below the level of December 2019. On the other hand, despite the uncertainty generated by the delayed vaccination campaigns in some of the countries in the Region, we are starting to see clear signals of recovery for the Region. Recently, the International Monetary Fund revised its 2021 growth estimates for Latin America, from 3% to 4.6% and, what is even more relevant for Bladex, the growth estimates for trade have also been revised upwards from 8.2% to 16.2%, mainly driven by higher volumes and higher commodity prices.”</w:t>
      </w:r>
    </w:p>
    <w:p>
      <w:pPr>
        <w:spacing w:after="0" w:line="195" w:lineRule="exact"/>
        <w:rPr>
          <w:sz w:val="20"/>
          <w:szCs w:val="20"/>
          <w:color w:val="auto"/>
        </w:rPr>
      </w:pPr>
    </w:p>
    <w:p>
      <w:pPr>
        <w:jc w:val="both"/>
        <w:ind w:right="80"/>
        <w:spacing w:after="0" w:line="301" w:lineRule="auto"/>
        <w:rPr>
          <w:sz w:val="20"/>
          <w:szCs w:val="20"/>
          <w:color w:val="auto"/>
        </w:rPr>
      </w:pPr>
      <w:r>
        <w:rPr>
          <w:rFonts w:ascii="Arial" w:cs="Arial" w:eastAsia="Arial" w:hAnsi="Arial"/>
          <w:sz w:val="16"/>
          <w:szCs w:val="16"/>
          <w:color w:val="auto"/>
        </w:rPr>
        <w:t>Mr. Salas added: “Bladex’s first quarter results do not yet reflect this recovery, but we are confident that this will happen as the Region’s economies continue on this upward path. The Board’s decision to carry out a Stock Repurchase for up to $60 million, under an Open Market Program, is a testament to that conviction, while, at the same time, providing us with the financial flexibility to respond to both opportunities and challenges in the Region. In addition, the Board maintained the quarterly dividend at $0.25 cents per share, which also reflects Bladex’s financial strength and earnings quality.”</w:t>
      </w:r>
    </w:p>
    <w:p>
      <w:pPr>
        <w:spacing w:after="0" w:line="157" w:lineRule="exact"/>
        <w:rPr>
          <w:sz w:val="20"/>
          <w:szCs w:val="20"/>
          <w:color w:val="auto"/>
        </w:rPr>
      </w:pPr>
    </w:p>
    <w:p>
      <w:pPr>
        <w:jc w:val="both"/>
        <w:ind w:right="80"/>
        <w:spacing w:after="0" w:line="279" w:lineRule="auto"/>
        <w:rPr>
          <w:sz w:val="20"/>
          <w:szCs w:val="20"/>
          <w:color w:val="auto"/>
        </w:rPr>
      </w:pPr>
      <w:r>
        <w:rPr>
          <w:rFonts w:ascii="Arial" w:cs="Arial" w:eastAsia="Arial" w:hAnsi="Arial"/>
          <w:sz w:val="17"/>
          <w:szCs w:val="17"/>
          <w:color w:val="auto"/>
        </w:rPr>
        <w:t>Mr. Salas concluded: “A year later after I joined the Bank, we have an even cleaner balance sheet, an even more committed team and the Board’s mandate to explore different avenues to grow the Bank and return more value to shareholders remains unchanged. Although the Pandemic continues to pose significant challenges for the Region, we believe that the Bank has many opportunities to grow and to increase its products and services offerings. Bladex is well-prepared to navigate 2021 and we look forward to reporting our progress to you in future quarters.”</w:t>
      </w:r>
    </w:p>
    <w:p>
      <w:pPr>
        <w:spacing w:after="0" w:line="38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RECENT EVENTS</w:t>
      </w:r>
    </w:p>
    <w:p>
      <w:pPr>
        <w:spacing w:after="0" w:line="225" w:lineRule="exact"/>
        <w:rPr>
          <w:sz w:val="20"/>
          <w:szCs w:val="20"/>
          <w:color w:val="auto"/>
        </w:rPr>
      </w:pPr>
    </w:p>
    <w:p>
      <w:pPr>
        <w:jc w:val="both"/>
        <w:ind w:left="660" w:hanging="328"/>
        <w:spacing w:after="0" w:line="257" w:lineRule="auto"/>
        <w:tabs>
          <w:tab w:leader="none" w:pos="660" w:val="left"/>
        </w:tabs>
        <w:numPr>
          <w:ilvl w:val="0"/>
          <w:numId w:val="3"/>
        </w:numPr>
        <w:rPr>
          <w:rFonts w:ascii="Arial" w:cs="Arial" w:eastAsia="Arial" w:hAnsi="Arial"/>
          <w:sz w:val="18"/>
          <w:szCs w:val="18"/>
          <w:color w:val="auto"/>
        </w:rPr>
      </w:pPr>
      <w:r>
        <w:rPr>
          <w:rFonts w:ascii="Arial" w:cs="Arial" w:eastAsia="Arial" w:hAnsi="Arial"/>
          <w:sz w:val="18"/>
          <w:szCs w:val="18"/>
          <w:b w:val="1"/>
          <w:bCs w:val="1"/>
          <w:color w:val="auto"/>
        </w:rPr>
        <w:t xml:space="preserve">Open Market Repurchase Program of up to $60 million: </w:t>
      </w:r>
      <w:r>
        <w:rPr>
          <w:rFonts w:ascii="Arial" w:cs="Arial" w:eastAsia="Arial" w:hAnsi="Arial"/>
          <w:sz w:val="18"/>
          <w:szCs w:val="18"/>
          <w:color w:val="auto"/>
        </w:rPr>
        <w:t>The Bank’s Board of Directors (the “Board”) has authorized a repurchase program of</w:t>
      </w:r>
      <w:r>
        <w:rPr>
          <w:rFonts w:ascii="Arial" w:cs="Arial" w:eastAsia="Arial" w:hAnsi="Arial"/>
          <w:sz w:val="18"/>
          <w:szCs w:val="18"/>
          <w:b w:val="1"/>
          <w:bCs w:val="1"/>
          <w:color w:val="auto"/>
        </w:rPr>
        <w:t xml:space="preserve"> </w:t>
      </w:r>
      <w:r>
        <w:rPr>
          <w:rFonts w:ascii="Arial" w:cs="Arial" w:eastAsia="Arial" w:hAnsi="Arial"/>
          <w:sz w:val="18"/>
          <w:szCs w:val="18"/>
          <w:color w:val="auto"/>
        </w:rPr>
        <w:t>up to $60 million of the Bank’s common stock. The repurchase program is intended to comply with Rule 10b-18 promulgated under the Securities Exchange Act of 1934, as amended (“Rule 10b-18”).</w:t>
      </w:r>
    </w:p>
    <w:p>
      <w:pPr>
        <w:spacing w:after="0" w:line="1" w:lineRule="exact"/>
        <w:rPr>
          <w:rFonts w:ascii="Arial" w:cs="Arial" w:eastAsia="Arial" w:hAnsi="Arial"/>
          <w:sz w:val="18"/>
          <w:szCs w:val="18"/>
          <w:color w:val="auto"/>
        </w:rPr>
      </w:pPr>
    </w:p>
    <w:p>
      <w:pPr>
        <w:ind w:left="660" w:hanging="328"/>
        <w:spacing w:after="0" w:line="250" w:lineRule="auto"/>
        <w:tabs>
          <w:tab w:leader="none" w:pos="660" w:val="left"/>
        </w:tabs>
        <w:numPr>
          <w:ilvl w:val="0"/>
          <w:numId w:val="3"/>
        </w:numPr>
        <w:rPr>
          <w:rFonts w:ascii="Arial" w:cs="Arial" w:eastAsia="Arial" w:hAnsi="Arial"/>
          <w:sz w:val="18"/>
          <w:szCs w:val="18"/>
          <w:color w:val="auto"/>
        </w:rPr>
      </w:pPr>
      <w:r>
        <w:rPr>
          <w:rFonts w:ascii="Arial" w:cs="Arial" w:eastAsia="Arial" w:hAnsi="Arial"/>
          <w:sz w:val="18"/>
          <w:szCs w:val="18"/>
          <w:b w:val="1"/>
          <w:bCs w:val="1"/>
          <w:color w:val="auto"/>
        </w:rPr>
        <w:t xml:space="preserve">Quarterly dividend payment: </w:t>
      </w:r>
      <w:r>
        <w:rPr>
          <w:rFonts w:ascii="Arial" w:cs="Arial" w:eastAsia="Arial" w:hAnsi="Arial"/>
          <w:sz w:val="18"/>
          <w:szCs w:val="18"/>
          <w:color w:val="auto"/>
        </w:rPr>
        <w:t>The Board approved a quarterly common dividend of $0.25 per share corresponding to the first quarter 2021. The</w:t>
      </w:r>
      <w:r>
        <w:rPr>
          <w:rFonts w:ascii="Arial" w:cs="Arial" w:eastAsia="Arial" w:hAnsi="Arial"/>
          <w:sz w:val="18"/>
          <w:szCs w:val="18"/>
          <w:b w:val="1"/>
          <w:bCs w:val="1"/>
          <w:color w:val="auto"/>
        </w:rPr>
        <w:t xml:space="preserve"> </w:t>
      </w:r>
      <w:r>
        <w:rPr>
          <w:rFonts w:ascii="Arial" w:cs="Arial" w:eastAsia="Arial" w:hAnsi="Arial"/>
          <w:sz w:val="18"/>
          <w:szCs w:val="18"/>
          <w:color w:val="auto"/>
        </w:rPr>
        <w:t>cash dividend will be paid on June 2, 2021, to shareholders registered as of May 17, 2021.</w:t>
      </w:r>
    </w:p>
    <w:p>
      <w:pPr>
        <w:ind w:left="660" w:hanging="328"/>
        <w:spacing w:after="0"/>
        <w:tabs>
          <w:tab w:leader="none" w:pos="660" w:val="left"/>
        </w:tabs>
        <w:numPr>
          <w:ilvl w:val="0"/>
          <w:numId w:val="3"/>
        </w:numPr>
        <w:rPr>
          <w:rFonts w:ascii="Arial" w:cs="Arial" w:eastAsia="Arial" w:hAnsi="Arial"/>
          <w:sz w:val="16"/>
          <w:szCs w:val="16"/>
          <w:color w:val="auto"/>
        </w:rPr>
      </w:pPr>
      <w:r>
        <w:rPr>
          <w:rFonts w:ascii="Arial" w:cs="Arial" w:eastAsia="Arial" w:hAnsi="Arial"/>
          <w:sz w:val="16"/>
          <w:szCs w:val="16"/>
          <w:b w:val="1"/>
          <w:bCs w:val="1"/>
          <w:color w:val="auto"/>
        </w:rPr>
        <w:t xml:space="preserve">Annual Shareholders’ Meeting Results: </w:t>
      </w:r>
      <w:r>
        <w:rPr>
          <w:rFonts w:ascii="Arial" w:cs="Arial" w:eastAsia="Arial" w:hAnsi="Arial"/>
          <w:sz w:val="16"/>
          <w:szCs w:val="16"/>
          <w:color w:val="auto"/>
        </w:rPr>
        <w:t>At the Annual Shareholders’ Meeting held on April 29, 2021, in Panama City, Panama, shareholders:</w:t>
      </w:r>
    </w:p>
    <w:p>
      <w:pPr>
        <w:spacing w:after="0" w:line="32" w:lineRule="exact"/>
        <w:rPr>
          <w:rFonts w:ascii="Arial" w:cs="Arial" w:eastAsia="Arial" w:hAnsi="Arial"/>
          <w:sz w:val="16"/>
          <w:szCs w:val="16"/>
          <w:color w:val="auto"/>
        </w:rPr>
      </w:pPr>
    </w:p>
    <w:p>
      <w:pPr>
        <w:ind w:left="980" w:right="100" w:hanging="324"/>
        <w:spacing w:after="0" w:line="250" w:lineRule="auto"/>
        <w:tabs>
          <w:tab w:leader="none" w:pos="980" w:val="left"/>
        </w:tabs>
        <w:numPr>
          <w:ilvl w:val="1"/>
          <w:numId w:val="3"/>
        </w:numPr>
        <w:rPr>
          <w:rFonts w:ascii="Arial" w:cs="Arial" w:eastAsia="Arial" w:hAnsi="Arial"/>
          <w:sz w:val="18"/>
          <w:szCs w:val="18"/>
          <w:color w:val="auto"/>
        </w:rPr>
      </w:pPr>
      <w:r>
        <w:rPr>
          <w:rFonts w:ascii="Arial" w:cs="Arial" w:eastAsia="Arial" w:hAnsi="Arial"/>
          <w:sz w:val="18"/>
          <w:szCs w:val="18"/>
          <w:color w:val="auto"/>
        </w:rPr>
        <w:t>Elected Mr. Miguel Heras Castro as Director representing Class “E” shares of the Bank’s common stock, and Mrs. Isela Costantini and Mrs. Alexandra M. Aguirre, as Directors representing All Classes of shares of the Bank’s common stock.</w:t>
      </w:r>
    </w:p>
    <w:p>
      <w:pPr>
        <w:ind w:left="980" w:hanging="324"/>
        <w:spacing w:after="0"/>
        <w:tabs>
          <w:tab w:leader="none" w:pos="980" w:val="left"/>
        </w:tabs>
        <w:numPr>
          <w:ilvl w:val="1"/>
          <w:numId w:val="3"/>
        </w:numPr>
        <w:rPr>
          <w:rFonts w:ascii="Arial" w:cs="Arial" w:eastAsia="Arial" w:hAnsi="Arial"/>
          <w:sz w:val="18"/>
          <w:szCs w:val="18"/>
          <w:color w:val="auto"/>
        </w:rPr>
      </w:pPr>
      <w:r>
        <w:rPr>
          <w:rFonts w:ascii="Arial" w:cs="Arial" w:eastAsia="Arial" w:hAnsi="Arial"/>
          <w:sz w:val="18"/>
          <w:szCs w:val="18"/>
          <w:color w:val="auto"/>
        </w:rPr>
        <w:t>Approved the Bank’s audited consolidated financial statements for the fiscal year ended December 31, 2020.</w:t>
      </w:r>
    </w:p>
    <w:p>
      <w:pPr>
        <w:spacing w:after="0" w:line="9" w:lineRule="exact"/>
        <w:rPr>
          <w:rFonts w:ascii="Arial" w:cs="Arial" w:eastAsia="Arial" w:hAnsi="Arial"/>
          <w:sz w:val="18"/>
          <w:szCs w:val="18"/>
          <w:color w:val="auto"/>
        </w:rPr>
      </w:pPr>
    </w:p>
    <w:p>
      <w:pPr>
        <w:ind w:left="980" w:hanging="324"/>
        <w:spacing w:after="0"/>
        <w:tabs>
          <w:tab w:leader="none" w:pos="980" w:val="left"/>
        </w:tabs>
        <w:numPr>
          <w:ilvl w:val="1"/>
          <w:numId w:val="3"/>
        </w:numPr>
        <w:rPr>
          <w:rFonts w:ascii="Arial" w:cs="Arial" w:eastAsia="Arial" w:hAnsi="Arial"/>
          <w:sz w:val="18"/>
          <w:szCs w:val="18"/>
          <w:color w:val="auto"/>
        </w:rPr>
      </w:pPr>
      <w:r>
        <w:rPr>
          <w:rFonts w:ascii="Arial" w:cs="Arial" w:eastAsia="Arial" w:hAnsi="Arial"/>
          <w:sz w:val="18"/>
          <w:szCs w:val="18"/>
          <w:color w:val="auto"/>
        </w:rPr>
        <w:t>Ratified KPMG as the Bank’s independent registered public accounting firm for the fiscal year ending December 31, 2021.</w:t>
      </w:r>
    </w:p>
    <w:p>
      <w:pPr>
        <w:spacing w:after="0" w:line="9" w:lineRule="exact"/>
        <w:rPr>
          <w:rFonts w:ascii="Arial" w:cs="Arial" w:eastAsia="Arial" w:hAnsi="Arial"/>
          <w:sz w:val="18"/>
          <w:szCs w:val="18"/>
          <w:color w:val="auto"/>
        </w:rPr>
      </w:pPr>
    </w:p>
    <w:p>
      <w:pPr>
        <w:ind w:left="980" w:hanging="324"/>
        <w:spacing w:after="0"/>
        <w:tabs>
          <w:tab w:leader="none" w:pos="980" w:val="left"/>
        </w:tabs>
        <w:numPr>
          <w:ilvl w:val="1"/>
          <w:numId w:val="3"/>
        </w:numPr>
        <w:rPr>
          <w:rFonts w:ascii="Arial" w:cs="Arial" w:eastAsia="Arial" w:hAnsi="Arial"/>
          <w:sz w:val="18"/>
          <w:szCs w:val="18"/>
          <w:color w:val="auto"/>
        </w:rPr>
      </w:pPr>
      <w:r>
        <w:rPr>
          <w:rFonts w:ascii="Arial" w:cs="Arial" w:eastAsia="Arial" w:hAnsi="Arial"/>
          <w:sz w:val="18"/>
          <w:szCs w:val="18"/>
          <w:color w:val="auto"/>
        </w:rPr>
        <w:t>Approved, on an advisory basis, the compensation of the Bank’s executive officers.</w:t>
      </w:r>
    </w:p>
    <w:p>
      <w:pPr>
        <w:spacing w:after="0" w:line="9" w:lineRule="exact"/>
        <w:rPr>
          <w:rFonts w:ascii="Arial" w:cs="Arial" w:eastAsia="Arial" w:hAnsi="Arial"/>
          <w:sz w:val="18"/>
          <w:szCs w:val="18"/>
          <w:color w:val="auto"/>
        </w:rPr>
      </w:pPr>
    </w:p>
    <w:p>
      <w:pPr>
        <w:jc w:val="both"/>
        <w:ind w:left="660" w:right="80" w:hanging="328"/>
        <w:spacing w:after="0" w:line="290" w:lineRule="auto"/>
        <w:tabs>
          <w:tab w:leader="none" w:pos="660" w:val="left"/>
        </w:tabs>
        <w:numPr>
          <w:ilvl w:val="0"/>
          <w:numId w:val="3"/>
        </w:numPr>
        <w:rPr>
          <w:rFonts w:ascii="Arial" w:cs="Arial" w:eastAsia="Arial" w:hAnsi="Arial"/>
          <w:sz w:val="16"/>
          <w:szCs w:val="16"/>
          <w:color w:val="auto"/>
        </w:rPr>
      </w:pPr>
      <w:r>
        <w:rPr>
          <w:rFonts w:ascii="Arial" w:cs="Arial" w:eastAsia="Arial" w:hAnsi="Arial"/>
          <w:sz w:val="16"/>
          <w:szCs w:val="16"/>
          <w:b w:val="1"/>
          <w:bCs w:val="1"/>
          <w:color w:val="auto"/>
        </w:rPr>
        <w:t xml:space="preserve">Ratings updates: </w:t>
      </w:r>
      <w:r>
        <w:rPr>
          <w:rFonts w:ascii="Arial" w:cs="Arial" w:eastAsia="Arial" w:hAnsi="Arial"/>
          <w:sz w:val="16"/>
          <w:szCs w:val="16"/>
          <w:color w:val="auto"/>
        </w:rPr>
        <w:t>On April 14, 2021, S&amp;P Global Ratings affirmed the Bank’s global- and national-scale issuer credit ratings at “BBB/A-2” and</w:t>
      </w:r>
      <w:r>
        <w:rPr>
          <w:rFonts w:ascii="Arial" w:cs="Arial" w:eastAsia="Arial" w:hAnsi="Arial"/>
          <w:sz w:val="16"/>
          <w:szCs w:val="16"/>
          <w:b w:val="1"/>
          <w:bCs w:val="1"/>
          <w:color w:val="auto"/>
        </w:rPr>
        <w:t xml:space="preserve"> </w:t>
      </w:r>
      <w:r>
        <w:rPr>
          <w:rFonts w:ascii="Arial" w:cs="Arial" w:eastAsia="Arial" w:hAnsi="Arial"/>
          <w:sz w:val="16"/>
          <w:szCs w:val="16"/>
          <w:color w:val="auto"/>
        </w:rPr>
        <w:t xml:space="preserve">“mxAAA”, respectively. The outlook was revised to “Stable” from “Negative” on sound asset quality metrics. According to S&amp;P Global Ratings’ view, </w:t>
      </w:r>
      <w:r>
        <w:rPr>
          <w:rFonts w:ascii="Arial" w:cs="Arial" w:eastAsia="Arial" w:hAnsi="Arial"/>
          <w:sz w:val="16"/>
          <w:szCs w:val="16"/>
          <w:i w:val="1"/>
          <w:iCs w:val="1"/>
          <w:color w:val="auto"/>
        </w:rPr>
        <w:t>“Banco Latinoamericano de Comercio Exterior S.A. (Bladex) was able to cope with the COVID-19 breakout thanks to strong capitalization</w:t>
      </w:r>
      <w:r>
        <w:rPr>
          <w:rFonts w:ascii="Arial" w:cs="Arial" w:eastAsia="Arial" w:hAnsi="Arial"/>
          <w:sz w:val="16"/>
          <w:szCs w:val="16"/>
          <w:color w:val="auto"/>
        </w:rPr>
        <w:t xml:space="preserve"> </w:t>
      </w:r>
      <w:r>
        <w:rPr>
          <w:rFonts w:ascii="Arial" w:cs="Arial" w:eastAsia="Arial" w:hAnsi="Arial"/>
          <w:sz w:val="16"/>
          <w:szCs w:val="16"/>
          <w:i w:val="1"/>
          <w:iCs w:val="1"/>
          <w:color w:val="auto"/>
        </w:rPr>
        <w:t>levels and solid risk management, which has enabled it to maintain a healthy and diversified portfolio without erosion of its capital metrics. The stable outlook reflects our expectation that Bladex will withstand the prolonged downside risks from the pandemic thanks to sound capital metrics and manageable asset quality metrics, while it maintains its most relevant credit exposures in countries with lower economic risks.”</w:t>
      </w:r>
    </w:p>
    <w:p>
      <w:pPr>
        <w:spacing w:after="0" w:line="380" w:lineRule="exact"/>
        <w:rPr>
          <w:sz w:val="20"/>
          <w:szCs w:val="20"/>
          <w:color w:val="auto"/>
        </w:rPr>
      </w:pPr>
    </w:p>
    <w:p>
      <w:pPr>
        <w:jc w:val="right"/>
        <w:spacing w:after="0"/>
        <w:rPr>
          <w:sz w:val="20"/>
          <w:szCs w:val="20"/>
          <w:color w:val="auto"/>
        </w:rPr>
      </w:pPr>
      <w:r>
        <w:rPr>
          <w:rFonts w:ascii="Arial" w:cs="Arial" w:eastAsia="Arial" w:hAnsi="Arial"/>
          <w:sz w:val="18"/>
          <w:szCs w:val="18"/>
          <w:color w:val="auto"/>
        </w:rPr>
        <w:t>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5" w:name="page6"/>
    <w:bookmarkEnd w:id="5"/>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w:t>
      </w:r>
    </w:p>
    <w:p>
      <w:pPr>
        <w:spacing w:after="0" w:line="27" w:lineRule="exact"/>
        <w:rPr>
          <w:sz w:val="20"/>
          <w:szCs w:val="20"/>
          <w:color w:val="auto"/>
        </w:rPr>
      </w:pPr>
    </w:p>
    <w:p>
      <w:pPr>
        <w:ind w:left="660" w:hanging="328"/>
        <w:spacing w:after="0"/>
        <w:tabs>
          <w:tab w:leader="none" w:pos="660" w:val="left"/>
        </w:tabs>
        <w:numPr>
          <w:ilvl w:val="0"/>
          <w:numId w:val="4"/>
        </w:numPr>
        <w:rPr>
          <w:rFonts w:ascii="Arial" w:cs="Arial" w:eastAsia="Arial" w:hAnsi="Arial"/>
          <w:sz w:val="18"/>
          <w:szCs w:val="18"/>
          <w:color w:val="auto"/>
        </w:rPr>
      </w:pPr>
      <w:r>
        <w:rPr>
          <w:rFonts w:ascii="Arial" w:cs="Arial" w:eastAsia="Arial" w:hAnsi="Arial"/>
          <w:sz w:val="18"/>
          <w:szCs w:val="18"/>
          <w:color w:val="auto"/>
        </w:rPr>
        <w:t>Numbers and percentages set forth in this earnings release have been rounded and accordingly may not total exactly.</w:t>
      </w:r>
    </w:p>
    <w:p>
      <w:pPr>
        <w:spacing w:after="0" w:line="210" w:lineRule="exact"/>
        <w:rPr>
          <w:rFonts w:ascii="Arial" w:cs="Arial" w:eastAsia="Arial" w:hAnsi="Arial"/>
          <w:sz w:val="18"/>
          <w:szCs w:val="18"/>
          <w:color w:val="auto"/>
        </w:rPr>
      </w:pPr>
    </w:p>
    <w:p>
      <w:pPr>
        <w:ind w:left="660" w:hanging="328"/>
        <w:spacing w:after="0"/>
        <w:tabs>
          <w:tab w:leader="none" w:pos="660" w:val="left"/>
        </w:tabs>
        <w:numPr>
          <w:ilvl w:val="0"/>
          <w:numId w:val="4"/>
        </w:numPr>
        <w:rPr>
          <w:rFonts w:ascii="Arial" w:cs="Arial" w:eastAsia="Arial" w:hAnsi="Arial"/>
          <w:sz w:val="18"/>
          <w:szCs w:val="18"/>
          <w:color w:val="auto"/>
        </w:rPr>
      </w:pPr>
      <w:r>
        <w:rPr>
          <w:rFonts w:ascii="Arial" w:cs="Arial" w:eastAsia="Arial" w:hAnsi="Arial"/>
          <w:sz w:val="18"/>
          <w:szCs w:val="18"/>
          <w:color w:val="auto"/>
        </w:rPr>
        <w:t>QoQ and YoY refer to quarter-on-quarter and year-on-year variations, respectively.</w:t>
      </w:r>
    </w:p>
    <w:p>
      <w:pPr>
        <w:spacing w:after="0" w:line="200" w:lineRule="exact"/>
        <w:rPr>
          <w:sz w:val="20"/>
          <w:szCs w:val="20"/>
          <w:color w:val="auto"/>
        </w:rPr>
      </w:pPr>
    </w:p>
    <w:p>
      <w:pPr>
        <w:spacing w:after="0" w:line="200" w:lineRule="exact"/>
        <w:rPr>
          <w:sz w:val="20"/>
          <w:szCs w:val="20"/>
          <w:color w:val="auto"/>
        </w:rPr>
      </w:pPr>
    </w:p>
    <w:p>
      <w:pPr>
        <w:spacing w:after="0" w:line="25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Footnotes:</w:t>
      </w:r>
    </w:p>
    <w:p>
      <w:pPr>
        <w:spacing w:after="0" w:line="229" w:lineRule="exact"/>
        <w:rPr>
          <w:sz w:val="20"/>
          <w:szCs w:val="20"/>
          <w:color w:val="auto"/>
        </w:rPr>
      </w:pPr>
    </w:p>
    <w:p>
      <w:pPr>
        <w:ind w:left="660" w:hanging="328"/>
        <w:spacing w:after="0"/>
        <w:tabs>
          <w:tab w:leader="none" w:pos="660" w:val="left"/>
        </w:tabs>
        <w:numPr>
          <w:ilvl w:val="0"/>
          <w:numId w:val="5"/>
        </w:numPr>
        <w:rPr>
          <w:rFonts w:ascii="Arial" w:cs="Arial" w:eastAsia="Arial" w:hAnsi="Arial"/>
          <w:sz w:val="18"/>
          <w:szCs w:val="18"/>
          <w:color w:val="auto"/>
        </w:rPr>
      </w:pPr>
      <w:r>
        <w:rPr>
          <w:rFonts w:ascii="Arial" w:cs="Arial" w:eastAsia="Arial" w:hAnsi="Arial"/>
          <w:sz w:val="18"/>
          <w:szCs w:val="18"/>
          <w:color w:val="auto"/>
        </w:rPr>
        <w:t>Earnings per Share (“EPS”) calculation is based on the average number of shares outstanding during each period.</w:t>
      </w:r>
    </w:p>
    <w:p>
      <w:pPr>
        <w:spacing w:after="0" w:line="225" w:lineRule="exact"/>
        <w:rPr>
          <w:rFonts w:ascii="Arial" w:cs="Arial" w:eastAsia="Arial" w:hAnsi="Arial"/>
          <w:sz w:val="18"/>
          <w:szCs w:val="18"/>
          <w:color w:val="auto"/>
        </w:rPr>
      </w:pPr>
    </w:p>
    <w:p>
      <w:pPr>
        <w:ind w:left="660" w:hanging="328"/>
        <w:spacing w:after="0"/>
        <w:tabs>
          <w:tab w:leader="none" w:pos="660" w:val="left"/>
        </w:tabs>
        <w:numPr>
          <w:ilvl w:val="0"/>
          <w:numId w:val="5"/>
        </w:numPr>
        <w:rPr>
          <w:rFonts w:ascii="Arial" w:cs="Arial" w:eastAsia="Arial" w:hAnsi="Arial"/>
          <w:sz w:val="18"/>
          <w:szCs w:val="18"/>
          <w:color w:val="auto"/>
        </w:rPr>
      </w:pPr>
      <w:r>
        <w:rPr>
          <w:rFonts w:ascii="Arial" w:cs="Arial" w:eastAsia="Arial" w:hAnsi="Arial"/>
          <w:sz w:val="18"/>
          <w:szCs w:val="18"/>
          <w:color w:val="auto"/>
        </w:rPr>
        <w:t>ROAE refers to return on average stockholders’ equity which is calculated on the basis of unaudited daily average balances.</w:t>
      </w:r>
    </w:p>
    <w:p>
      <w:pPr>
        <w:spacing w:after="0" w:line="225" w:lineRule="exact"/>
        <w:rPr>
          <w:rFonts w:ascii="Arial" w:cs="Arial" w:eastAsia="Arial" w:hAnsi="Arial"/>
          <w:sz w:val="18"/>
          <w:szCs w:val="18"/>
          <w:color w:val="auto"/>
        </w:rPr>
      </w:pPr>
    </w:p>
    <w:p>
      <w:pPr>
        <w:ind w:left="660" w:hanging="328"/>
        <w:spacing w:after="0"/>
        <w:tabs>
          <w:tab w:leader="none" w:pos="660" w:val="left"/>
        </w:tabs>
        <w:numPr>
          <w:ilvl w:val="0"/>
          <w:numId w:val="5"/>
        </w:numPr>
        <w:rPr>
          <w:rFonts w:ascii="Arial" w:cs="Arial" w:eastAsia="Arial" w:hAnsi="Arial"/>
          <w:sz w:val="17"/>
          <w:szCs w:val="17"/>
          <w:color w:val="auto"/>
        </w:rPr>
      </w:pPr>
      <w:r>
        <w:rPr>
          <w:rFonts w:ascii="Arial" w:cs="Arial" w:eastAsia="Arial" w:hAnsi="Arial"/>
          <w:sz w:val="17"/>
          <w:szCs w:val="17"/>
          <w:color w:val="auto"/>
        </w:rPr>
        <w:t>NIM refers to net interest margin which constitutes to Net Interest Income (“NII”) divided by the average balance of interest-earning assets.</w:t>
      </w:r>
    </w:p>
    <w:p>
      <w:pPr>
        <w:spacing w:after="0" w:line="236" w:lineRule="exact"/>
        <w:rPr>
          <w:rFonts w:ascii="Arial" w:cs="Arial" w:eastAsia="Arial" w:hAnsi="Arial"/>
          <w:sz w:val="17"/>
          <w:szCs w:val="17"/>
          <w:color w:val="auto"/>
        </w:rPr>
      </w:pPr>
    </w:p>
    <w:p>
      <w:pPr>
        <w:ind w:left="660" w:right="80" w:hanging="328"/>
        <w:spacing w:after="0" w:line="277" w:lineRule="auto"/>
        <w:tabs>
          <w:tab w:leader="none" w:pos="660" w:val="left"/>
        </w:tabs>
        <w:numPr>
          <w:ilvl w:val="0"/>
          <w:numId w:val="5"/>
        </w:numPr>
        <w:rPr>
          <w:rFonts w:ascii="Arial" w:cs="Arial" w:eastAsia="Arial" w:hAnsi="Arial"/>
          <w:sz w:val="18"/>
          <w:szCs w:val="18"/>
          <w:color w:val="auto"/>
        </w:rPr>
      </w:pPr>
      <w:r>
        <w:rPr>
          <w:rFonts w:ascii="Arial" w:cs="Arial" w:eastAsia="Arial" w:hAnsi="Arial"/>
          <w:sz w:val="18"/>
          <w:szCs w:val="18"/>
          <w:color w:val="auto"/>
        </w:rPr>
        <w:t>NIS refers to net interest spread which constitutes the average yield earned on interest-earning assets, less the average yield paid on interest-bearing liabilities.</w:t>
      </w:r>
    </w:p>
    <w:p>
      <w:pPr>
        <w:spacing w:after="0" w:line="170" w:lineRule="exact"/>
        <w:rPr>
          <w:rFonts w:ascii="Arial" w:cs="Arial" w:eastAsia="Arial" w:hAnsi="Arial"/>
          <w:sz w:val="18"/>
          <w:szCs w:val="18"/>
          <w:color w:val="auto"/>
        </w:rPr>
      </w:pPr>
    </w:p>
    <w:p>
      <w:pPr>
        <w:ind w:left="660" w:hanging="328"/>
        <w:spacing w:after="0"/>
        <w:tabs>
          <w:tab w:leader="none" w:pos="660" w:val="left"/>
        </w:tabs>
        <w:numPr>
          <w:ilvl w:val="0"/>
          <w:numId w:val="5"/>
        </w:numPr>
        <w:rPr>
          <w:rFonts w:ascii="Arial" w:cs="Arial" w:eastAsia="Arial" w:hAnsi="Arial"/>
          <w:sz w:val="18"/>
          <w:szCs w:val="18"/>
          <w:color w:val="auto"/>
        </w:rPr>
      </w:pPr>
      <w:r>
        <w:rPr>
          <w:rFonts w:ascii="Arial" w:cs="Arial" w:eastAsia="Arial" w:hAnsi="Arial"/>
          <w:sz w:val="18"/>
          <w:szCs w:val="18"/>
          <w:color w:val="auto"/>
        </w:rPr>
        <w:t>Efficiency Ratio refers to consolidated operating expenses as a percentage of total revenues.</w:t>
      </w:r>
    </w:p>
    <w:p>
      <w:pPr>
        <w:spacing w:after="0" w:line="225" w:lineRule="exact"/>
        <w:rPr>
          <w:rFonts w:ascii="Arial" w:cs="Arial" w:eastAsia="Arial" w:hAnsi="Arial"/>
          <w:sz w:val="18"/>
          <w:szCs w:val="18"/>
          <w:color w:val="auto"/>
        </w:rPr>
      </w:pPr>
    </w:p>
    <w:p>
      <w:pPr>
        <w:jc w:val="both"/>
        <w:ind w:left="660" w:right="80" w:hanging="328"/>
        <w:spacing w:after="0" w:line="311" w:lineRule="auto"/>
        <w:tabs>
          <w:tab w:leader="none" w:pos="660" w:val="left"/>
        </w:tabs>
        <w:numPr>
          <w:ilvl w:val="0"/>
          <w:numId w:val="5"/>
        </w:numPr>
        <w:rPr>
          <w:rFonts w:ascii="Arial" w:cs="Arial" w:eastAsia="Arial" w:hAnsi="Arial"/>
          <w:sz w:val="16"/>
          <w:szCs w:val="16"/>
          <w:color w:val="auto"/>
        </w:rPr>
      </w:pPr>
      <w:r>
        <w:rPr>
          <w:rFonts w:ascii="Arial" w:cs="Arial" w:eastAsia="Arial" w:hAnsi="Arial"/>
          <w:sz w:val="16"/>
          <w:szCs w:val="16"/>
          <w:color w:val="auto"/>
        </w:rPr>
        <w:t>The Bank’s “Credit Portfolio” includes gross loans at amortized cost (or the “Loan Portfolio”), securities at FVOCI and at amortized cost, gross of interest receivable and the allowance for expected credit losses, loan commitments and financial guarantee contracts, such as confirmed and stand-by letters of credit, and guarantees covering commercial risk; and other assets consisting of customers’ liabilities under acceptances.</w:t>
      </w:r>
    </w:p>
    <w:p>
      <w:pPr>
        <w:spacing w:after="0" w:line="148" w:lineRule="exact"/>
        <w:rPr>
          <w:rFonts w:ascii="Arial" w:cs="Arial" w:eastAsia="Arial" w:hAnsi="Arial"/>
          <w:sz w:val="16"/>
          <w:szCs w:val="16"/>
          <w:color w:val="auto"/>
        </w:rPr>
      </w:pPr>
    </w:p>
    <w:p>
      <w:pPr>
        <w:jc w:val="both"/>
        <w:ind w:left="660" w:right="80" w:hanging="328"/>
        <w:spacing w:after="0" w:line="263" w:lineRule="auto"/>
        <w:tabs>
          <w:tab w:leader="none" w:pos="660" w:val="left"/>
        </w:tabs>
        <w:numPr>
          <w:ilvl w:val="0"/>
          <w:numId w:val="5"/>
        </w:numPr>
        <w:rPr>
          <w:rFonts w:ascii="Arial" w:cs="Arial" w:eastAsia="Arial" w:hAnsi="Arial"/>
          <w:sz w:val="18"/>
          <w:szCs w:val="18"/>
          <w:color w:val="auto"/>
        </w:rPr>
      </w:pPr>
      <w:r>
        <w:rPr>
          <w:rFonts w:ascii="Arial" w:cs="Arial" w:eastAsia="Arial" w:hAnsi="Arial"/>
          <w:sz w:val="18"/>
          <w:szCs w:val="18"/>
          <w:color w:val="auto"/>
        </w:rPr>
        <w:t>The Bank’s “Commercial Portfolio” includes gross loans at amortized cost (or the “Loan Portfolio”), loan commitments and financial guarantee contracts, such as issued and confirmed letters of credit, stand-by letters of credit, guarantees covering commercial risk and other assets consisting of customers’ liabilities under acceptances.</w:t>
      </w:r>
    </w:p>
    <w:p>
      <w:pPr>
        <w:spacing w:after="0" w:line="183" w:lineRule="exact"/>
        <w:rPr>
          <w:rFonts w:ascii="Arial" w:cs="Arial" w:eastAsia="Arial" w:hAnsi="Arial"/>
          <w:sz w:val="18"/>
          <w:szCs w:val="18"/>
          <w:color w:val="auto"/>
        </w:rPr>
      </w:pPr>
    </w:p>
    <w:p>
      <w:pPr>
        <w:ind w:left="660" w:hanging="328"/>
        <w:spacing w:after="0"/>
        <w:tabs>
          <w:tab w:leader="none" w:pos="660" w:val="left"/>
        </w:tabs>
        <w:numPr>
          <w:ilvl w:val="0"/>
          <w:numId w:val="5"/>
        </w:numPr>
        <w:rPr>
          <w:rFonts w:ascii="Arial" w:cs="Arial" w:eastAsia="Arial" w:hAnsi="Arial"/>
          <w:sz w:val="16"/>
          <w:szCs w:val="16"/>
          <w:color w:val="auto"/>
        </w:rPr>
      </w:pPr>
      <w:r>
        <w:rPr>
          <w:rFonts w:ascii="Arial" w:cs="Arial" w:eastAsia="Arial" w:hAnsi="Arial"/>
          <w:sz w:val="16"/>
          <w:szCs w:val="16"/>
          <w:color w:val="auto"/>
        </w:rPr>
        <w:t>Market capitalization corresponds to total outstanding common shares multiplied by market close price at the end of each corresponding period.</w:t>
      </w:r>
    </w:p>
    <w:p>
      <w:pPr>
        <w:spacing w:after="0" w:line="248" w:lineRule="exact"/>
        <w:rPr>
          <w:rFonts w:ascii="Arial" w:cs="Arial" w:eastAsia="Arial" w:hAnsi="Arial"/>
          <w:sz w:val="16"/>
          <w:szCs w:val="16"/>
          <w:color w:val="auto"/>
        </w:rPr>
      </w:pPr>
    </w:p>
    <w:p>
      <w:pPr>
        <w:jc w:val="both"/>
        <w:ind w:left="660" w:right="80" w:hanging="328"/>
        <w:spacing w:after="0" w:line="263" w:lineRule="auto"/>
        <w:tabs>
          <w:tab w:leader="none" w:pos="660" w:val="left"/>
        </w:tabs>
        <w:numPr>
          <w:ilvl w:val="0"/>
          <w:numId w:val="5"/>
        </w:numPr>
        <w:rPr>
          <w:rFonts w:ascii="Arial" w:cs="Arial" w:eastAsia="Arial" w:hAnsi="Arial"/>
          <w:sz w:val="18"/>
          <w:szCs w:val="18"/>
          <w:color w:val="auto"/>
        </w:rPr>
      </w:pPr>
      <w:r>
        <w:rPr>
          <w:rFonts w:ascii="Arial" w:cs="Arial" w:eastAsia="Arial" w:hAnsi="Arial"/>
          <w:sz w:val="18"/>
          <w:szCs w:val="18"/>
          <w:color w:val="auto"/>
        </w:rPr>
        <w:t>Tier 1 Capital ratio is calculated according to Basel III capital adequacy guidelines, and as a percentage of risk-weighted assets. Risk-weighted assets are estimated based on Basel III capital adequacy guidelines, utilizing internal-ratings based approach or “IRB” for credit risk and standardized approach for operational risk.</w:t>
      </w:r>
    </w:p>
    <w:p>
      <w:pPr>
        <w:spacing w:after="0" w:line="183" w:lineRule="exact"/>
        <w:rPr>
          <w:rFonts w:ascii="Arial" w:cs="Arial" w:eastAsia="Arial" w:hAnsi="Arial"/>
          <w:sz w:val="18"/>
          <w:szCs w:val="18"/>
          <w:color w:val="auto"/>
        </w:rPr>
      </w:pPr>
    </w:p>
    <w:p>
      <w:pPr>
        <w:jc w:val="both"/>
        <w:ind w:left="660" w:right="80" w:hanging="328"/>
        <w:spacing w:after="0" w:line="263" w:lineRule="auto"/>
        <w:tabs>
          <w:tab w:leader="none" w:pos="660" w:val="left"/>
        </w:tabs>
        <w:numPr>
          <w:ilvl w:val="0"/>
          <w:numId w:val="5"/>
        </w:numPr>
        <w:rPr>
          <w:rFonts w:ascii="Arial" w:cs="Arial" w:eastAsia="Arial" w:hAnsi="Arial"/>
          <w:sz w:val="18"/>
          <w:szCs w:val="18"/>
          <w:color w:val="auto"/>
        </w:rPr>
      </w:pPr>
      <w:r>
        <w:rPr>
          <w:rFonts w:ascii="Arial" w:cs="Arial" w:eastAsia="Arial" w:hAnsi="Arial"/>
          <w:sz w:val="18"/>
          <w:szCs w:val="18"/>
          <w:color w:val="auto"/>
        </w:rPr>
        <w:t>As defined by the Superintendency of Banks of Panama through Rules No. 01-2015 and 03-2016, based on Basel III standardized approach. The capital adequacy ratio is defined as the ratio of capital funds to risk-weighted assets, rated according to the asset’s categories for credit risk. In addition, risk-weighted assets consider calculations for market risk and operating risk.</w:t>
      </w:r>
    </w:p>
    <w:p>
      <w:pPr>
        <w:spacing w:after="0" w:line="183" w:lineRule="exact"/>
        <w:rPr>
          <w:rFonts w:ascii="Arial" w:cs="Arial" w:eastAsia="Arial" w:hAnsi="Arial"/>
          <w:sz w:val="18"/>
          <w:szCs w:val="18"/>
          <w:color w:val="auto"/>
        </w:rPr>
      </w:pPr>
    </w:p>
    <w:p>
      <w:pPr>
        <w:jc w:val="both"/>
        <w:ind w:left="660" w:right="80" w:hanging="328"/>
        <w:spacing w:after="0" w:line="263" w:lineRule="auto"/>
        <w:tabs>
          <w:tab w:leader="none" w:pos="660" w:val="left"/>
        </w:tabs>
        <w:numPr>
          <w:ilvl w:val="0"/>
          <w:numId w:val="5"/>
        </w:numPr>
        <w:rPr>
          <w:rFonts w:ascii="Arial" w:cs="Arial" w:eastAsia="Arial" w:hAnsi="Arial"/>
          <w:sz w:val="18"/>
          <w:szCs w:val="18"/>
          <w:color w:val="auto"/>
        </w:rPr>
      </w:pPr>
      <w:r>
        <w:rPr>
          <w:rFonts w:ascii="Arial" w:cs="Arial" w:eastAsia="Arial" w:hAnsi="Arial"/>
          <w:sz w:val="18"/>
          <w:szCs w:val="18"/>
          <w:color w:val="auto"/>
        </w:rPr>
        <w:t>Liquid assets refer to total cash and cash equivalents, consisting of cash and due from banks and interest-bearing deposits in banks, excluding pledged deposits and margin calls; as well as highly rated corporate debt securities (above ‘A-‘). Liquidity ratio refers to liquid assets as a percentage of total assets.</w:t>
      </w:r>
    </w:p>
    <w:p>
      <w:pPr>
        <w:spacing w:after="0" w:line="183" w:lineRule="exact"/>
        <w:rPr>
          <w:rFonts w:ascii="Arial" w:cs="Arial" w:eastAsia="Arial" w:hAnsi="Arial"/>
          <w:sz w:val="18"/>
          <w:szCs w:val="18"/>
          <w:color w:val="auto"/>
        </w:rPr>
      </w:pPr>
    </w:p>
    <w:p>
      <w:pPr>
        <w:ind w:left="660" w:right="80" w:hanging="328"/>
        <w:spacing w:after="0" w:line="277" w:lineRule="auto"/>
        <w:tabs>
          <w:tab w:leader="none" w:pos="660" w:val="left"/>
        </w:tabs>
        <w:numPr>
          <w:ilvl w:val="0"/>
          <w:numId w:val="5"/>
        </w:numPr>
        <w:rPr>
          <w:rFonts w:ascii="Arial" w:cs="Arial" w:eastAsia="Arial" w:hAnsi="Arial"/>
          <w:sz w:val="18"/>
          <w:szCs w:val="18"/>
          <w:color w:val="auto"/>
        </w:rPr>
      </w:pPr>
      <w:r>
        <w:rPr>
          <w:rFonts w:ascii="Arial" w:cs="Arial" w:eastAsia="Arial" w:hAnsi="Arial"/>
          <w:sz w:val="18"/>
          <w:szCs w:val="18"/>
          <w:color w:val="auto"/>
        </w:rPr>
        <w:t>Loan Portfolio refers to gross loans at amortized cost, excluding interest receivable, the allowance for loan losses, and unearned interest and deferred fees. Credit-impaired loans are also commonly referred to as Non-Performing Loans or NPLs.</w:t>
      </w:r>
    </w:p>
    <w:p>
      <w:pPr>
        <w:spacing w:after="0" w:line="170" w:lineRule="exact"/>
        <w:rPr>
          <w:rFonts w:ascii="Arial" w:cs="Arial" w:eastAsia="Arial" w:hAnsi="Arial"/>
          <w:sz w:val="18"/>
          <w:szCs w:val="18"/>
          <w:color w:val="auto"/>
        </w:rPr>
      </w:pPr>
    </w:p>
    <w:p>
      <w:pPr>
        <w:ind w:left="660" w:right="100" w:hanging="328"/>
        <w:spacing w:after="0" w:line="277" w:lineRule="auto"/>
        <w:tabs>
          <w:tab w:leader="none" w:pos="660" w:val="left"/>
        </w:tabs>
        <w:numPr>
          <w:ilvl w:val="0"/>
          <w:numId w:val="5"/>
        </w:numPr>
        <w:rPr>
          <w:rFonts w:ascii="Arial" w:cs="Arial" w:eastAsia="Arial" w:hAnsi="Arial"/>
          <w:sz w:val="18"/>
          <w:szCs w:val="18"/>
          <w:color w:val="auto"/>
        </w:rPr>
      </w:pPr>
      <w:r>
        <w:rPr>
          <w:rFonts w:ascii="Arial" w:cs="Arial" w:eastAsia="Arial" w:hAnsi="Arial"/>
          <w:sz w:val="18"/>
          <w:szCs w:val="18"/>
          <w:color w:val="auto"/>
        </w:rPr>
        <w:t>Total allowance for losses refers to allowance for loan losses plus allowance for loan commitments and financial guarantee contract losses and allowance for investment securities losses.</w:t>
      </w:r>
    </w:p>
    <w:p>
      <w:pPr>
        <w:spacing w:after="0" w:line="386" w:lineRule="exact"/>
        <w:rPr>
          <w:sz w:val="20"/>
          <w:szCs w:val="20"/>
          <w:color w:val="auto"/>
        </w:rPr>
      </w:pPr>
    </w:p>
    <w:p>
      <w:pPr>
        <w:jc w:val="right"/>
        <w:spacing w:after="0"/>
        <w:rPr>
          <w:sz w:val="20"/>
          <w:szCs w:val="20"/>
          <w:color w:val="auto"/>
        </w:rPr>
      </w:pPr>
      <w:r>
        <w:rPr>
          <w:rFonts w:ascii="Arial" w:cs="Arial" w:eastAsia="Arial" w:hAnsi="Arial"/>
          <w:sz w:val="18"/>
          <w:szCs w:val="18"/>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6" w:name="page7"/>
    <w:bookmarkEnd w:id="6"/>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SAFE HARBOR STATEMENT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152400</wp:posOffset>
            </wp:positionV>
            <wp:extent cx="7136130" cy="222440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136130" cy="2224405"/>
                    </a:xfrm>
                    <a:prstGeom prst="rect">
                      <a:avLst/>
                    </a:prstGeom>
                    <a:noFill/>
                  </pic:spPr>
                </pic:pic>
              </a:graphicData>
            </a:graphic>
          </wp:anchor>
        </w:drawing>
      </w:r>
    </w:p>
    <w:p>
      <w:pPr>
        <w:spacing w:after="0" w:line="223" w:lineRule="exact"/>
        <w:rPr>
          <w:sz w:val="20"/>
          <w:szCs w:val="20"/>
          <w:color w:val="auto"/>
        </w:rPr>
      </w:pPr>
    </w:p>
    <w:p>
      <w:pPr>
        <w:jc w:val="both"/>
        <w:ind w:left="80" w:right="60"/>
        <w:spacing w:after="0" w:line="285" w:lineRule="auto"/>
        <w:rPr>
          <w:sz w:val="20"/>
          <w:szCs w:val="20"/>
          <w:color w:val="auto"/>
        </w:rPr>
      </w:pPr>
      <w:r>
        <w:rPr>
          <w:rFonts w:ascii="Arial" w:cs="Arial" w:eastAsia="Arial" w:hAnsi="Arial"/>
          <w:sz w:val="16"/>
          <w:szCs w:val="16"/>
          <w:i w:val="1"/>
          <w:iCs w:val="1"/>
          <w:color w:val="auto"/>
        </w:rPr>
        <w:t>This press release contains forward-looking statements of expected future developments within the meaning of the Private Securities Litigation Reform Act of 1995 and Section 21E of the Securities Exchange Act of 1934. Forward-looking statements can be identified by words such as: “anticipate”, “intend”, “plan”, “goal”, “seek”, “believe”, “project”, “estimate”, “expect”, “strategy”, “future”, “likely”, “may”, “should”, “will” and similar references to future periods. The forward-looking statements in this press release include the Bank’s financial position, asset quality and profitability, among others. These forward-looking statements reflect the expectations of the Bank’s management and are based on currently available data; however, actual performance and results are subject to future events and uncertainties, which could materially impact the Bank’s expectations. Among the factors that can cause actual performance and results to differ materially are as follows: the coronavirus (COVID-19) pandemic and government actions intended to limit its spread; the anticipated changes in the Bank’s credit portfolio; the continuation of the Bank’s preferred creditor status; the impact of increasing/decreasing interest rates and of the macroeconomic environment in the Region on the Bank’s financial condition; the execution of the Bank’s strategies and initiatives, including its revenue diversification strategy; the adequacy of the Bank’s allowance for expected credit losses; the need for additional allowance for expected credit losses; the Bank’s ability to achieve future growth, to reduce its liquidity levels and increase its leverage; the Bank’s ability to maintain its investment-grade credit ratings; the availability and mix of future sources of funding for the Bank’s lending operations; potential trading losses; the possibility of fraud; and the adequacy of the Bank’s sources of liquidity to replace deposit withdrawals. Factors or events that could cause our actual results to differ may emerge from time to time, and it is not possible for us to predict all of them. Readers are cautioned not to place undue reliance on these forward-looking statements, which speak only as of the date hereof. We undertake no obligation to publicly update any forward-looking statement, whether as a result of new information, future developments or otherwise, except as may be required by law.</w:t>
      </w:r>
    </w:p>
    <w:p>
      <w:pPr>
        <w:spacing w:after="0" w:line="200" w:lineRule="exact"/>
        <w:rPr>
          <w:sz w:val="20"/>
          <w:szCs w:val="20"/>
          <w:color w:val="auto"/>
        </w:rPr>
      </w:pPr>
    </w:p>
    <w:p>
      <w:pPr>
        <w:spacing w:after="0" w:line="21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ABOUT BLADEX</w:t>
      </w:r>
    </w:p>
    <w:p>
      <w:pPr>
        <w:spacing w:after="0" w:line="229" w:lineRule="exact"/>
        <w:rPr>
          <w:sz w:val="20"/>
          <w:szCs w:val="20"/>
          <w:color w:val="auto"/>
        </w:rPr>
      </w:pPr>
    </w:p>
    <w:p>
      <w:pPr>
        <w:jc w:val="both"/>
        <w:ind w:right="80"/>
        <w:spacing w:after="0" w:line="259" w:lineRule="auto"/>
        <w:rPr>
          <w:sz w:val="20"/>
          <w:szCs w:val="20"/>
          <w:color w:val="auto"/>
        </w:rPr>
      </w:pPr>
      <w:r>
        <w:rPr>
          <w:rFonts w:ascii="Arial" w:cs="Arial" w:eastAsia="Arial" w:hAnsi="Arial"/>
          <w:sz w:val="18"/>
          <w:szCs w:val="18"/>
          <w:color w:val="auto"/>
        </w:rPr>
        <w:t>Bladex, a multinational bank originally established by the central banks of Latin-American and Caribbean countries, began operations in 1979 to promote foreign trade and economic integration in the Region. The Bank, headquartered in Panama, also has offices in Argentina, Brazil, Colombia, Mexico, and the United States of America, and a Representative License in Peru, supporting the regional expansion and servicing its customer base, which includes financial institutions and corporations.</w:t>
      </w:r>
    </w:p>
    <w:p>
      <w:pPr>
        <w:spacing w:after="0" w:line="187" w:lineRule="exact"/>
        <w:rPr>
          <w:sz w:val="20"/>
          <w:szCs w:val="20"/>
          <w:color w:val="auto"/>
        </w:rPr>
      </w:pPr>
    </w:p>
    <w:p>
      <w:pPr>
        <w:jc w:val="both"/>
        <w:ind w:right="80"/>
        <w:spacing w:after="0" w:line="263" w:lineRule="auto"/>
        <w:rPr>
          <w:sz w:val="20"/>
          <w:szCs w:val="20"/>
          <w:color w:val="auto"/>
        </w:rPr>
      </w:pPr>
      <w:r>
        <w:rPr>
          <w:rFonts w:ascii="Arial" w:cs="Arial" w:eastAsia="Arial" w:hAnsi="Arial"/>
          <w:sz w:val="18"/>
          <w:szCs w:val="18"/>
          <w:color w:val="auto"/>
        </w:rPr>
        <w:t>Bladex is listed on the NYSE in the United States of America (NYSE: BLX), since 1992, and its shareholders include: central banks and state-owned banks and entities representing 23 Latin American countries; commercial banks and financial institutions; and institutional and retail investors through its public listing.</w:t>
      </w:r>
    </w:p>
    <w:p>
      <w:pPr>
        <w:spacing w:after="0" w:line="39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CONFERENCE CALL INFORMATION</w:t>
      </w:r>
    </w:p>
    <w:p>
      <w:pPr>
        <w:spacing w:after="0" w:line="229" w:lineRule="exact"/>
        <w:rPr>
          <w:sz w:val="20"/>
          <w:szCs w:val="20"/>
          <w:color w:val="auto"/>
        </w:rPr>
      </w:pPr>
    </w:p>
    <w:p>
      <w:pPr>
        <w:jc w:val="both"/>
        <w:ind w:right="80"/>
        <w:spacing w:after="0" w:line="279" w:lineRule="auto"/>
        <w:rPr>
          <w:sz w:val="20"/>
          <w:szCs w:val="20"/>
          <w:color w:val="auto"/>
        </w:rPr>
      </w:pPr>
      <w:r>
        <w:rPr>
          <w:rFonts w:ascii="Arial" w:cs="Arial" w:eastAsia="Arial" w:hAnsi="Arial"/>
          <w:sz w:val="17"/>
          <w:szCs w:val="17"/>
          <w:color w:val="auto"/>
        </w:rPr>
        <w:t xml:space="preserve">There will be a conference call to discuss the Bank’s quarterly results on Wednesday, May 5, 2021 at 11:00 a.m. New York City time (Eastern Time). For those interested in participating, please dial 1-877-271-1828 in the United States or, if outside the United States, 1-334-323-9871. Participants should use conference passcode 68251167, and dial in five minutes before the call is set to begin. There will also be a live audio webcast of the conference at </w:t>
      </w:r>
      <w:r>
        <w:rPr>
          <w:rFonts w:ascii="Arial" w:cs="Arial" w:eastAsia="Arial" w:hAnsi="Arial"/>
          <w:sz w:val="17"/>
          <w:szCs w:val="17"/>
          <w:u w:val="single" w:color="auto"/>
          <w:color w:val="auto"/>
        </w:rPr>
        <w:t>http://www.bladex.com</w:t>
      </w:r>
      <w:r>
        <w:rPr>
          <w:rFonts w:ascii="Arial" w:cs="Arial" w:eastAsia="Arial" w:hAnsi="Arial"/>
          <w:sz w:val="17"/>
          <w:szCs w:val="17"/>
          <w:color w:val="auto"/>
        </w:rPr>
        <w:t xml:space="preserve">. The webcast presentation will be available for viewing and downloads on </w:t>
      </w:r>
      <w:r>
        <w:rPr>
          <w:rFonts w:ascii="Arial" w:cs="Arial" w:eastAsia="Arial" w:hAnsi="Arial"/>
          <w:sz w:val="17"/>
          <w:szCs w:val="17"/>
          <w:u w:val="single" w:color="auto"/>
          <w:color w:val="auto"/>
        </w:rPr>
        <w:t>http://www.bladex.com</w:t>
      </w:r>
      <w:r>
        <w:rPr>
          <w:rFonts w:ascii="Arial" w:cs="Arial" w:eastAsia="Arial" w:hAnsi="Arial"/>
          <w:sz w:val="17"/>
          <w:szCs w:val="17"/>
          <w:color w:val="auto"/>
        </w:rPr>
        <w:t>.</w:t>
      </w:r>
    </w:p>
    <w:p>
      <w:pPr>
        <w:spacing w:after="0" w:line="171" w:lineRule="exact"/>
        <w:rPr>
          <w:sz w:val="20"/>
          <w:szCs w:val="20"/>
          <w:color w:val="auto"/>
        </w:rPr>
      </w:pPr>
    </w:p>
    <w:p>
      <w:pPr>
        <w:jc w:val="both"/>
        <w:ind w:right="80"/>
        <w:spacing w:after="0" w:line="277" w:lineRule="auto"/>
        <w:rPr>
          <w:sz w:val="20"/>
          <w:szCs w:val="20"/>
          <w:color w:val="auto"/>
        </w:rPr>
      </w:pPr>
      <w:r>
        <w:rPr>
          <w:rFonts w:ascii="Arial" w:cs="Arial" w:eastAsia="Arial" w:hAnsi="Arial"/>
          <w:sz w:val="18"/>
          <w:szCs w:val="18"/>
          <w:color w:val="auto"/>
        </w:rPr>
        <w:t>The conference call will become available for review on Conference Replay one hour after its conclusion and will remain available for 60 days. Please dial (877) 919-4059 or (334) 323-0140 and follow the instructions. The replay passcode is: 37768534.</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 xml:space="preserve">For more information, please access </w:t>
      </w:r>
      <w:r>
        <w:rPr>
          <w:rFonts w:ascii="Arial" w:cs="Arial" w:eastAsia="Arial" w:hAnsi="Arial"/>
          <w:sz w:val="18"/>
          <w:szCs w:val="18"/>
          <w:u w:val="single" w:color="auto"/>
          <w:color w:val="auto"/>
        </w:rPr>
        <w:t>http://www.bladex.com</w:t>
      </w:r>
      <w:r>
        <w:rPr>
          <w:rFonts w:ascii="Arial" w:cs="Arial" w:eastAsia="Arial" w:hAnsi="Arial"/>
          <w:sz w:val="18"/>
          <w:szCs w:val="18"/>
          <w:color w:val="auto"/>
        </w:rPr>
        <w:t xml:space="preserve"> or contact:</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Mrs. Ana Graciela de Méndez</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color w:val="auto"/>
        </w:rPr>
        <w:t>Chief Financial Officer</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Tel: +507 210-8563</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 xml:space="preserve">E-mail address: </w:t>
      </w:r>
      <w:r>
        <w:rPr>
          <w:rFonts w:ascii="Arial" w:cs="Arial" w:eastAsia="Arial" w:hAnsi="Arial"/>
          <w:sz w:val="18"/>
          <w:szCs w:val="18"/>
          <w:u w:val="single" w:color="auto"/>
          <w:color w:val="auto"/>
        </w:rPr>
        <w:t>amendez@bladex.com</w:t>
      </w:r>
    </w:p>
    <w:p>
      <w:pPr>
        <w:spacing w:after="0" w:line="200" w:lineRule="exact"/>
        <w:rPr>
          <w:sz w:val="20"/>
          <w:szCs w:val="20"/>
          <w:color w:val="auto"/>
        </w:rPr>
      </w:pPr>
    </w:p>
    <w:p>
      <w:pPr>
        <w:spacing w:after="0" w:line="227" w:lineRule="exact"/>
        <w:rPr>
          <w:sz w:val="20"/>
          <w:szCs w:val="20"/>
          <w:color w:val="auto"/>
        </w:rPr>
      </w:pPr>
    </w:p>
    <w:p>
      <w:pPr>
        <w:jc w:val="right"/>
        <w:spacing w:after="0"/>
        <w:rPr>
          <w:sz w:val="20"/>
          <w:szCs w:val="20"/>
          <w:color w:val="auto"/>
        </w:rPr>
      </w:pPr>
      <w:r>
        <w:rPr>
          <w:rFonts w:ascii="Arial" w:cs="Arial" w:eastAsia="Arial" w:hAnsi="Arial"/>
          <w:sz w:val="18"/>
          <w:szCs w:val="18"/>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7" w:name="page8"/>
    <w:bookmarkEnd w:id="7"/>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2848610</wp:posOffset>
            </wp:positionH>
            <wp:positionV relativeFrom="page">
              <wp:posOffset>4366260</wp:posOffset>
            </wp:positionV>
            <wp:extent cx="1851660" cy="146558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clrChange>
                        <a:clrFrom>
                          <a:srgbClr val="FFFFFF"/>
                        </a:clrFrom>
                        <a:clrTo>
                          <a:srgbClr val="FFFFFF">
                            <a:alpha val="0"/>
                          </a:srgbClr>
                        </a:clrTo>
                      </a:clrChange>
                      <a:extLst>
                        <a:ext uri="{28A0092B-C50C-407E-A947-70E740481C1C}"/>
                      </a:extLst>
                    </a:blip>
                    <a:srcRect/>
                    <a:stretch>
                      <a:fillRect/>
                    </a:stretch>
                  </pic:blipFill>
                  <pic:spPr bwMode="auto">
                    <a:xfrm>
                      <a:off x="0" y="0"/>
                      <a:ext cx="1851660" cy="146558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ind w:left="10040"/>
        <w:spacing w:after="0"/>
        <w:rPr>
          <w:sz w:val="20"/>
          <w:szCs w:val="20"/>
          <w:color w:val="auto"/>
        </w:rPr>
      </w:pPr>
      <w:r>
        <w:rPr>
          <w:rFonts w:ascii="Arial" w:cs="Arial" w:eastAsia="Arial" w:hAnsi="Arial"/>
          <w:sz w:val="13"/>
          <w:szCs w:val="13"/>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-705485</wp:posOffset>
            </wp:positionH>
            <wp:positionV relativeFrom="paragraph">
              <wp:posOffset>51435</wp:posOffset>
            </wp:positionV>
            <wp:extent cx="7132320" cy="825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sectPr>
      <w:pgSz w:w="11900" w:h="16838" w:orient="portrait"/>
      <w:cols w:equalWidth="0" w:num="1">
        <w:col w:w="10120"/>
      </w:cols>
      <w:pgMar w:left="1440" w:top="1440" w:right="3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19495CFF"/>
    <w:multiLevelType w:val="hybridMultilevel"/>
    <w:lvl w:ilvl="0">
      <w:lvlJc w:val="left"/>
      <w:lvlText w:val="·"/>
      <w:numFmt w:val="bullet"/>
      <w:start w:val="1"/>
    </w:lvl>
  </w:abstractNum>
  <w:abstractNum w:abstractNumId="1">
    <w:nsid w:val="2AE8944A"/>
    <w:multiLevelType w:val="hybridMultilevel"/>
    <w:lvl w:ilvl="0">
      <w:lvlJc w:val="left"/>
      <w:lvlText w:val="·"/>
      <w:numFmt w:val="bullet"/>
      <w:start w:val="1"/>
    </w:lvl>
  </w:abstractNum>
  <w:abstractNum w:abstractNumId="2">
    <w:nsid w:val="625558EC"/>
    <w:multiLevelType w:val="hybridMultilevel"/>
    <w:lvl w:ilvl="0">
      <w:lvlJc w:val="left"/>
      <w:lvlText w:val="§"/>
      <w:numFmt w:val="bullet"/>
      <w:start w:val="1"/>
    </w:lvl>
    <w:lvl w:ilvl="1">
      <w:lvlJc w:val="left"/>
      <w:lvlText w:val="-"/>
      <w:numFmt w:val="bullet"/>
      <w:start w:val="1"/>
    </w:lvl>
  </w:abstractNum>
  <w:abstractNum w:abstractNumId="3">
    <w:nsid w:val="238E1F29"/>
    <w:multiLevelType w:val="hybridMultilevel"/>
    <w:lvl w:ilvl="0">
      <w:lvlJc w:val="left"/>
      <w:lvlText w:val="-"/>
      <w:numFmt w:val="bullet"/>
      <w:start w:val="1"/>
    </w:lvl>
  </w:abstractNum>
  <w:abstractNum w:abstractNumId="4">
    <w:nsid w:val="46E87CCD"/>
    <w:multiLevelType w:val="hybridMultilevel"/>
    <w:lvl w:ilvl="0">
      <w:lvlJc w:val="left"/>
      <w:lvlText w:val="%1)"/>
      <w:numFmt w:val="decimal"/>
      <w:start w:val="1"/>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jpe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jpeg"/><Relationship Id="rId21" Type="http://schemas.openxmlformats.org/officeDocument/2006/relationships/image" Target="media/image14.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2021-05-05T15:27:12Z</dcterms:created>
  <dcterms:modified xsi:type="dcterms:W3CDTF">2021-05-05T15:27:12Z</dcterms:modified>
</cp:coreProperties>
</file>